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简体" w:eastAsia="方正小标宋简体" w:hAnsi="方正小标宋简体"/>
          <w:b/>
          <w:color w:val="000000"/>
          <w:kern w:val="2"/>
          <w:sz w:val="36"/>
          <w:szCs w:val="32"/>
        </w:rPr>
      </w:pPr>
      <w:r>
        <w:rPr>
          <w:rFonts w:ascii="方正小标宋简体" w:eastAsia="方正小标宋简体" w:hAnsi="方正小标宋简体" w:hint="eastAsia"/>
          <w:b/>
          <w:color w:val="000000"/>
          <w:kern w:val="2"/>
          <w:sz w:val="36"/>
          <w:szCs w:val="32"/>
        </w:rPr>
        <w:t>中国邮政储蓄银行信用卡</w:t>
      </w:r>
      <w:r>
        <w:rPr>
          <w:rFonts w:ascii="方正小标宋简体" w:eastAsia="方正小标宋简体" w:hAnsi="方正小标宋简体" w:hint="eastAsia"/>
          <w:b/>
          <w:color w:val="000000"/>
          <w:kern w:val="2"/>
          <w:sz w:val="36"/>
          <w:szCs w:val="32"/>
          <w:lang w:eastAsia="zh-CN"/>
        </w:rPr>
        <w:t>装修</w:t>
      </w:r>
      <w:r>
        <w:rPr>
          <w:rFonts w:ascii="方正小标宋简体" w:eastAsia="方正小标宋简体" w:hAnsi="方正小标宋简体" w:hint="eastAsia"/>
          <w:b/>
          <w:color w:val="000000"/>
          <w:kern w:val="2"/>
          <w:sz w:val="36"/>
          <w:szCs w:val="32"/>
        </w:rPr>
        <w:t>分期业务客户须知</w:t>
      </w:r>
    </w:p>
    <w:p>
      <w:pPr>
        <w:jc w:val="center"/>
        <w:rPr>
          <w:rFonts w:ascii="方正小标宋简体" w:eastAsia="方正小标宋简体" w:hAnsi="方正小标宋简体" w:hint="eastAsia"/>
          <w:b/>
          <w:color w:val="000000"/>
          <w:kern w:val="2"/>
          <w:sz w:val="36"/>
          <w:szCs w:val="32"/>
        </w:rPr>
      </w:pPr>
      <w:r>
        <w:rPr>
          <w:rFonts w:ascii="方正小标宋简体" w:eastAsia="方正小标宋简体" w:cs="方正小标宋简体" w:hAnsi="方正小标宋简体" w:hint="eastAsia"/>
          <w:b/>
          <w:bCs/>
          <w:kern w:val="2"/>
          <w:sz w:val="36"/>
          <w:szCs w:val="36"/>
          <w:lang w:val="en-US" w:eastAsia="zh-CN" w:bidi="ar-SA"/>
        </w:rPr>
        <w:t>（线上模式）</w:t>
      </w:r>
    </w:p>
    <w:p>
      <w:pPr>
        <w:keepNext w:val="0"/>
        <w:keepLines w:val="0"/>
        <w:pageBreakBefore w:val="0"/>
        <w:widowControl/>
        <w:suppressLineNumbers w:val="0"/>
        <w:suppressAutoHyphens w:val="0"/>
        <w:kinsoku/>
        <w:wordWrap/>
        <w:overflowPunct/>
        <w:topLinePunct w:val="0"/>
        <w:autoSpaceDE/>
        <w:autoSpaceDN/>
        <w:adjustRightInd w:val="0"/>
        <w:snapToGrid/>
        <w:spacing w:before="0" w:beforeAutospacing="0" w:after="0" w:afterAutospacing="0" w:line="360" w:lineRule="exact"/>
        <w:ind w:left="0" w:firstLineChars="200" w:firstLine="420"/>
        <w:contextualSpacing w:val="0"/>
        <w:jc w:val="left"/>
        <w:rPr>
          <w:rFonts w:ascii="黑体" w:eastAsia="黑体" w:cs="黑体" w:hAnsi="黑体" w:hint="eastAsia"/>
          <w:b/>
          <w:bCs/>
          <w:snapToGrid/>
          <w:color w:val="auto"/>
          <w:sz w:val="21"/>
          <w:szCs w:val="21"/>
          <w:vertAlign w:val="baseline"/>
          <w:lang w:val="en-US" w:bidi="ar-SA"/>
        </w:rPr>
      </w:pPr>
      <w:r>
        <w:rPr>
          <w:rFonts w:ascii="黑体" w:eastAsia="黑体" w:cs="黑体" w:hAnsi="黑体" w:hint="eastAsia"/>
          <w:b/>
          <w:bCs/>
          <w:snapToGrid/>
          <w:color w:val="auto"/>
          <w:kern w:val="2"/>
          <w:sz w:val="21"/>
          <w:szCs w:val="21"/>
          <w:vertAlign w:val="baseline"/>
          <w:lang w:val="en-US" w:eastAsia="zh-CN" w:bidi="ar-SA"/>
        </w:rPr>
        <w:t>尊敬的客户：为了维护您的权益，请在签署《中国邮政储蓄银行信用卡装修分期业务客户须知》（以下简称“须知”）前，仔细阅读本须知各条款（特别是含有黑体字标题或黑体字文字的条款</w:t>
      </w:r>
      <w:r>
        <w:rPr>
          <w:rFonts w:ascii="黑体" w:eastAsia="黑体" w:hAnsi="黑体" w:hint="eastAsia"/>
          <w:b/>
          <w:bCs/>
          <w:snapToGrid/>
          <w:color w:val="auto"/>
          <w:sz w:val="21"/>
          <w:szCs w:val="21"/>
          <w:vertAlign w:val="baseline"/>
        </w:rPr>
        <w:t>，注意本须知涉及息费项目及计算方式、资金用途、还款说明等内容的条款</w:t>
      </w:r>
      <w:r>
        <w:rPr>
          <w:rFonts w:ascii="黑体" w:eastAsia="黑体" w:cs="黑体" w:hAnsi="黑体" w:hint="eastAsia"/>
          <w:b/>
          <w:bCs/>
          <w:snapToGrid/>
          <w:color w:val="auto"/>
          <w:kern w:val="2"/>
          <w:sz w:val="21"/>
          <w:szCs w:val="21"/>
          <w:vertAlign w:val="baseline"/>
          <w:lang w:val="en-US" w:eastAsia="zh-CN" w:bidi="ar-SA"/>
        </w:rPr>
        <w:t>），</w:t>
      </w:r>
      <w:r>
        <w:rPr>
          <w:rFonts w:ascii="黑体" w:eastAsia="黑体" w:hAnsi="黑体" w:hint="eastAsia"/>
          <w:b/>
          <w:bCs/>
          <w:snapToGrid/>
          <w:color w:val="auto"/>
          <w:sz w:val="21"/>
          <w:szCs w:val="21"/>
          <w:vertAlign w:val="baseline"/>
        </w:rPr>
        <w:t>如果您无法准确理解本</w:t>
      </w:r>
      <w:r>
        <w:rPr>
          <w:rFonts w:ascii="黑体" w:eastAsia="黑体" w:hAnsi="黑体" w:hint="eastAsia"/>
          <w:b/>
          <w:bCs/>
          <w:snapToGrid/>
          <w:color w:val="auto"/>
          <w:sz w:val="21"/>
          <w:szCs w:val="21"/>
          <w:vertAlign w:val="baseline"/>
          <w:lang w:eastAsia="zh-CN"/>
        </w:rPr>
        <w:t>须知任</w:t>
      </w:r>
      <w:r>
        <w:rPr>
          <w:rFonts w:ascii="黑体" w:eastAsia="黑体" w:hAnsi="黑体" w:hint="eastAsia"/>
          <w:b/>
          <w:bCs/>
          <w:snapToGrid/>
          <w:color w:val="auto"/>
          <w:sz w:val="21"/>
          <w:szCs w:val="21"/>
          <w:vertAlign w:val="baseline"/>
        </w:rPr>
        <w:t>何条款的含义，请不要进行签署或确认。</w:t>
      </w:r>
      <w:bookmarkStart w:id="0" w:name="wordCheck_2O3vbbYtUnH_2O3veEYzmWo"/>
      <w:bookmarkStart w:id="1" w:name="wordCheck_2NLh1V64U76_2NLh5Q7DBnl"/>
      <w:r>
        <w:rPr>
          <w:rFonts w:ascii="黑体" w:eastAsia="黑体" w:hAnsi="黑体" w:hint="eastAsia"/>
          <w:b/>
          <w:bCs/>
          <w:snapToGrid/>
          <w:color w:val="auto"/>
          <w:sz w:val="21"/>
          <w:szCs w:val="21"/>
          <w:vertAlign w:val="baseline"/>
        </w:rPr>
        <w:t>如需进行业务咨询</w:t>
      </w:r>
      <w:bookmarkStart w:id="2" w:name="_GoBack"/>
      <w:bookmarkEnd w:id="2"/>
      <w:r>
        <w:rPr>
          <w:rFonts w:ascii="黑体" w:eastAsia="黑体" w:hAnsi="黑体" w:hint="eastAsia"/>
          <w:b/>
          <w:bCs/>
          <w:snapToGrid/>
          <w:color w:val="auto"/>
          <w:sz w:val="21"/>
          <w:szCs w:val="21"/>
          <w:vertAlign w:val="baseline"/>
        </w:rPr>
        <w:t>和投诉，请拨打我行信用卡客服热线：400-88-95580。</w:t>
      </w:r>
      <w:bookmarkEnd w:id="0"/>
      <w:bookmarkEnd w:id="1"/>
      <w:r>
        <w:rPr>
          <w:rFonts w:ascii="黑体" w:eastAsia="黑体" w:hAnsi="黑体" w:hint="eastAsia"/>
          <w:b/>
          <w:bCs/>
          <w:snapToGrid/>
          <w:color w:val="auto"/>
          <w:sz w:val="21"/>
          <w:szCs w:val="21"/>
          <w:vertAlign w:val="baseline"/>
        </w:rPr>
        <w:t>如您签署或确认本</w:t>
      </w:r>
      <w:r>
        <w:rPr>
          <w:rFonts w:ascii="黑体" w:eastAsia="黑体" w:hAnsi="黑体" w:hint="eastAsia"/>
          <w:b/>
          <w:bCs/>
          <w:snapToGrid/>
          <w:color w:val="auto"/>
          <w:sz w:val="21"/>
          <w:szCs w:val="21"/>
          <w:vertAlign w:val="baseline"/>
          <w:lang w:eastAsia="zh-CN"/>
        </w:rPr>
        <w:t>须知</w:t>
      </w:r>
      <w:r>
        <w:rPr>
          <w:rFonts w:ascii="黑体" w:eastAsia="黑体" w:hAnsi="黑体" w:hint="eastAsia"/>
          <w:b/>
          <w:bCs/>
          <w:snapToGrid/>
          <w:color w:val="auto"/>
          <w:sz w:val="21"/>
          <w:szCs w:val="21"/>
          <w:vertAlign w:val="baseline"/>
        </w:rPr>
        <w:t>，即表示您同意接受本</w:t>
      </w:r>
      <w:r>
        <w:rPr>
          <w:rFonts w:ascii="黑体" w:eastAsia="黑体" w:hAnsi="黑体" w:hint="eastAsia"/>
          <w:b/>
          <w:bCs/>
          <w:snapToGrid/>
          <w:color w:val="auto"/>
          <w:sz w:val="21"/>
          <w:szCs w:val="21"/>
          <w:vertAlign w:val="baseline"/>
          <w:lang w:eastAsia="zh-CN"/>
        </w:rPr>
        <w:t>须知</w:t>
      </w:r>
      <w:r>
        <w:rPr>
          <w:rFonts w:ascii="黑体" w:eastAsia="黑体" w:hAnsi="黑体" w:hint="eastAsia"/>
          <w:b/>
          <w:bCs/>
          <w:snapToGrid/>
          <w:color w:val="auto"/>
          <w:sz w:val="21"/>
          <w:szCs w:val="21"/>
          <w:vertAlign w:val="baseline"/>
        </w:rPr>
        <w:t>的全部约定内容。</w:t>
      </w:r>
    </w:p>
    <w:p>
      <w:pPr>
        <w:pStyle w:val="22"/>
        <w:spacing w:before="0" w:beforeAutospacing="0" w:after="0" w:afterAutospacing="0" w:line="360" w:lineRule="exact"/>
        <w:ind w:left="0" w:firstLineChars="200" w:firstLine="420"/>
        <w:rPr>
          <w:rFonts w:ascii="黑体" w:eastAsia="黑体" w:cs="黑体" w:hAnsi="黑体" w:hint="eastAsia"/>
          <w:color w:val="auto"/>
          <w:kern w:val="2"/>
          <w:sz w:val="21"/>
          <w:szCs w:val="21"/>
          <w:u w:val="none"/>
          <w:vertAlign w:val="baseline"/>
          <w:lang w:bidi="ar-SA"/>
        </w:rPr>
      </w:pPr>
      <w:r>
        <w:rPr>
          <w:rFonts w:ascii="黑体" w:eastAsia="黑体" w:cs="黑体" w:hAnsi="黑体" w:hint="eastAsia"/>
          <w:color w:val="auto"/>
          <w:kern w:val="2"/>
          <w:sz w:val="21"/>
          <w:szCs w:val="21"/>
          <w:vertAlign w:val="baseline"/>
          <w:lang w:bidi="ar-SA"/>
        </w:rPr>
        <w:t>甲方：</w:t>
      </w:r>
      <w:r>
        <w:rPr>
          <w:rFonts w:ascii="黑体" w:eastAsia="黑体" w:cs="黑体" w:hAnsi="黑体" w:hint="eastAsia"/>
          <w:color w:val="auto"/>
          <w:kern w:val="2"/>
          <w:sz w:val="21"/>
          <w:szCs w:val="21"/>
          <w:u w:val="single"/>
          <w:vertAlign w:val="baseline"/>
          <w:lang w:eastAsia="zh-CN" w:bidi="ar-SA"/>
        </w:rPr>
        <w:t>用户姓名</w:t>
      </w:r>
      <w:r>
        <w:rPr>
          <w:rFonts w:ascii="黑体" w:eastAsia="黑体" w:cs="黑体" w:hAnsi="黑体" w:hint="eastAsia"/>
          <w:color w:val="auto"/>
          <w:kern w:val="2"/>
          <w:sz w:val="21"/>
          <w:szCs w:val="21"/>
          <w:u w:val="none"/>
          <w:vertAlign w:val="baseline"/>
          <w:lang w:bidi="ar-SA"/>
        </w:rPr>
        <w:t xml:space="preserve">                                                </w:t>
      </w:r>
    </w:p>
    <w:p>
      <w:pPr>
        <w:pStyle w:val="22"/>
        <w:spacing w:before="0" w:beforeAutospacing="0" w:after="0" w:afterAutospacing="0" w:line="360" w:lineRule="exact"/>
        <w:ind w:left="0" w:firstLineChars="200" w:firstLine="420"/>
        <w:rPr>
          <w:rFonts w:ascii="黑体" w:eastAsia="黑体" w:cs="黑体" w:hAnsi="黑体"/>
          <w:color w:val="auto"/>
          <w:kern w:val="2"/>
          <w:sz w:val="21"/>
          <w:szCs w:val="21"/>
          <w:u w:val="none"/>
          <w:vertAlign w:val="baseline"/>
          <w:lang w:bidi="ar-SA"/>
        </w:rPr>
      </w:pPr>
      <w:r>
        <w:rPr>
          <w:rFonts w:ascii="黑体" w:eastAsia="黑体" w:cs="黑体" w:hAnsi="黑体" w:hint="eastAsia"/>
          <w:color w:val="auto"/>
          <w:kern w:val="2"/>
          <w:sz w:val="21"/>
          <w:szCs w:val="21"/>
          <w:vertAlign w:val="baseline"/>
          <w:lang w:bidi="ar-SA"/>
        </w:rPr>
        <w:t>乙方：中国邮政储蓄</w:t>
      </w:r>
      <w:r>
        <w:rPr>
          <w:rFonts w:ascii="黑体" w:eastAsia="黑体" w:cs="黑体" w:hAnsi="黑体" w:hint="eastAsia"/>
          <w:color w:val="auto"/>
          <w:kern w:val="2"/>
          <w:sz w:val="21"/>
          <w:szCs w:val="21"/>
          <w:vertAlign w:val="baseline"/>
          <w:lang w:val="en-US" w:eastAsia="zh-CN" w:bidi="ar-SA"/>
        </w:rPr>
        <w:t>银行</w:t>
      </w:r>
      <w:r>
        <w:rPr>
          <w:rFonts w:ascii="黑体" w:eastAsia="黑体" w:cs="黑体" w:hAnsi="黑体" w:hint="eastAsia"/>
          <w:color w:val="auto"/>
          <w:kern w:val="2"/>
          <w:sz w:val="21"/>
          <w:szCs w:val="21"/>
          <w:u w:val="none"/>
          <w:vertAlign w:val="baseline"/>
          <w:lang w:bidi="ar-SA"/>
        </w:rPr>
        <w:t xml:space="preserve"> （含其分支机构）                               </w:t>
      </w:r>
    </w:p>
    <w:p>
      <w:pPr>
        <w:pStyle w:val="22"/>
        <w:spacing w:before="0" w:beforeAutospacing="0" w:after="0" w:afterAutospacing="0" w:line="360" w:lineRule="exact"/>
        <w:ind w:left="0" w:firstLineChars="200" w:firstLine="420"/>
        <w:rPr>
          <w:rFonts w:ascii="黑体" w:eastAsia="黑体" w:cs="黑体" w:hAnsi="黑体" w:hint="eastAsia"/>
          <w:kern w:val="2"/>
          <w:sz w:val="21"/>
          <w:szCs w:val="21"/>
        </w:rPr>
      </w:pPr>
      <w:r>
        <w:rPr>
          <w:rFonts w:ascii="宋体" w:eastAsia="宋体" w:cs="宋体" w:hAnsi="宋体" w:hint="eastAsia"/>
          <w:color w:val="auto"/>
          <w:sz w:val="21"/>
          <w:szCs w:val="21"/>
          <w:vertAlign w:val="baseline"/>
          <w:lang w:bidi="ar-SA"/>
        </w:rPr>
        <w:t>第一条 业务介绍</w:t>
      </w:r>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bidi="ar-SA"/>
        </w:rPr>
      </w:pPr>
      <w:r>
        <w:rPr>
          <w:rFonts w:ascii="宋体" w:eastAsia="宋体" w:cs="宋体" w:hAnsi="宋体" w:hint="eastAsia"/>
          <w:color w:val="auto"/>
          <w:sz w:val="21"/>
          <w:szCs w:val="21"/>
          <w:vertAlign w:val="baseline"/>
          <w:lang w:bidi="ar-SA"/>
        </w:rPr>
        <w:t>1.1信用卡</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分期业务是指甲方因家庭住宅</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需要，向中国邮政储蓄银行（以下简称乙方）申请办理指定信用卡产品（以下简称</w:t>
      </w:r>
      <w:r>
        <w:rPr>
          <w:rFonts w:ascii="宋体" w:eastAsia="宋体" w:cs="宋体" w:hAnsi="宋体" w:hint="eastAsia"/>
          <w:color w:val="auto"/>
          <w:sz w:val="21"/>
          <w:szCs w:val="21"/>
          <w:vertAlign w:val="baseline"/>
          <w:lang w:eastAsia="zh-CN" w:bidi="ar-SA"/>
        </w:rPr>
        <w:t>装修专用</w:t>
      </w:r>
      <w:r>
        <w:rPr>
          <w:rFonts w:ascii="宋体" w:eastAsia="宋体" w:cs="宋体" w:hAnsi="宋体" w:hint="eastAsia"/>
          <w:color w:val="auto"/>
          <w:sz w:val="21"/>
          <w:szCs w:val="21"/>
          <w:vertAlign w:val="baseline"/>
          <w:lang w:bidi="ar-SA"/>
        </w:rPr>
        <w:t>卡），乙方审批通过后授予甲方分期额度，甲方使用其在指定类型商户进行消费</w:t>
      </w:r>
      <w:r>
        <w:rPr>
          <w:rFonts w:ascii="宋体" w:eastAsia="宋体" w:cs="宋体" w:hAnsi="宋体" w:hint="eastAsia"/>
          <w:color w:val="auto"/>
          <w:sz w:val="21"/>
          <w:szCs w:val="21"/>
          <w:vertAlign w:val="baseline"/>
          <w:lang w:eastAsia="zh-CN" w:bidi="ar-SA"/>
        </w:rPr>
        <w:t>，</w:t>
      </w:r>
      <w:r>
        <w:rPr>
          <w:rFonts w:ascii="宋体" w:eastAsia="宋体" w:cs="宋体" w:hAnsi="宋体" w:hint="eastAsia"/>
          <w:color w:val="auto"/>
          <w:sz w:val="21"/>
          <w:szCs w:val="21"/>
          <w:vertAlign w:val="baseline"/>
          <w:lang w:bidi="ar-SA"/>
        </w:rPr>
        <w:t>消费成功后将每笔交易按照客户提前设置的分期期数实时转为分期付款或委托乙方支付给指定商户，</w:t>
      </w:r>
      <w:r>
        <w:rPr>
          <w:rFonts w:ascii="宋体" w:eastAsia="宋体" w:cs="宋体" w:hAnsi="宋体" w:hint="eastAsia"/>
          <w:color w:val="auto"/>
          <w:sz w:val="21"/>
          <w:szCs w:val="21"/>
          <w:vertAlign w:val="baseline"/>
          <w:lang w:eastAsia="zh-CN" w:bidi="ar-SA"/>
        </w:rPr>
        <w:t>支付成功后按照申请时约定的分期期数转为分期付款，</w:t>
      </w:r>
      <w:r>
        <w:rPr>
          <w:rFonts w:ascii="宋体" w:eastAsia="宋体" w:cs="宋体" w:hAnsi="宋体" w:hint="eastAsia"/>
          <w:color w:val="auto"/>
          <w:sz w:val="21"/>
          <w:szCs w:val="21"/>
          <w:vertAlign w:val="baseline"/>
          <w:lang w:bidi="ar-SA"/>
        </w:rPr>
        <w:t>在约定期限内按月还款并支付一定数额分期利息的业务。</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color w:val="auto"/>
          <w:sz w:val="21"/>
          <w:szCs w:val="21"/>
          <w:vertAlign w:val="baseline"/>
        </w:rPr>
        <w:t>1.2</w:t>
      </w:r>
      <w:r>
        <w:rPr>
          <w:rFonts w:ascii="宋体" w:eastAsia="宋体" w:cs="宋体" w:hAnsi="宋体" w:hint="eastAsia"/>
          <w:color w:val="auto"/>
          <w:sz w:val="21"/>
          <w:szCs w:val="21"/>
          <w:vertAlign w:val="baseline"/>
          <w:lang w:bidi="ar-SA"/>
        </w:rPr>
        <w:t xml:space="preserve"> </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是指乙方面向个人客户发行的用于办理</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分期业务的信用卡，甲方仅能在乙方指定类型商户进行消费或委托乙方支付给指定商户，限制取现、转账、部分电子渠道消费、各类投资理财类业务签约、电子银行业务签约、各类代扣代缴业务签约等功能。</w:t>
      </w:r>
    </w:p>
    <w:p>
      <w:pPr>
        <w:spacing w:before="0" w:beforeAutospacing="0" w:after="0" w:afterAutospacing="0" w:line="360" w:lineRule="exact"/>
        <w:ind w:left="0" w:firstLineChars="200" w:firstLine="420"/>
        <w:rPr>
          <w:rFonts w:ascii="黑体" w:eastAsia="黑体" w:hAnsi="黑体"/>
          <w:b/>
          <w:bCs/>
          <w:color w:val="auto"/>
          <w:sz w:val="21"/>
          <w:szCs w:val="21"/>
          <w:vertAlign w:val="baseline"/>
          <w:lang w:eastAsia="zh-CN"/>
        </w:rPr>
      </w:pPr>
      <w:r>
        <w:rPr>
          <w:rFonts w:ascii="宋体" w:eastAsia="宋体" w:cs="宋体" w:hAnsi="宋体" w:hint="eastAsia"/>
          <w:color w:val="auto"/>
          <w:sz w:val="21"/>
          <w:szCs w:val="21"/>
          <w:vertAlign w:val="baseline"/>
          <w:lang w:bidi="ar-SA"/>
        </w:rPr>
        <w:t>1.3</w:t>
      </w:r>
      <w:r>
        <w:rPr>
          <w:rFonts w:ascii="宋体" w:eastAsia="宋体" w:cs="宋体" w:hAnsi="宋体" w:hint="eastAsia"/>
          <w:color w:val="auto"/>
          <w:sz w:val="21"/>
          <w:szCs w:val="21"/>
          <w:vertAlign w:val="baseline"/>
          <w:lang w:eastAsia="zh-CN" w:bidi="ar-SA"/>
        </w:rPr>
        <w:t>装修专用卡</w:t>
      </w:r>
      <w:r>
        <w:rPr>
          <w:rFonts w:ascii="宋体" w:eastAsia="宋体" w:cs="宋体" w:hAnsi="宋体" w:hint="eastAsia"/>
          <w:color w:val="auto"/>
          <w:sz w:val="21"/>
          <w:szCs w:val="21"/>
          <w:vertAlign w:val="baseline"/>
          <w:lang w:bidi="ar-SA"/>
        </w:rPr>
        <w:t>指定类型商户，由乙方根据</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分期业务规则，依据交易商户实际类别码自动判定。</w:t>
      </w:r>
      <w:r>
        <w:rPr>
          <w:rFonts w:ascii="黑体" w:eastAsia="黑体" w:hAnsi="黑体" w:hint="eastAsia"/>
          <w:b/>
          <w:bCs/>
          <w:color w:val="auto"/>
          <w:sz w:val="21"/>
          <w:szCs w:val="21"/>
          <w:vertAlign w:val="baseline"/>
        </w:rPr>
        <w:t>如因商户自身问题造成无法交易等情况，乙方在法律法规允许范围内不承担相关责任。</w:t>
      </w:r>
      <w:r>
        <w:rPr>
          <w:rFonts w:ascii="黑体" w:eastAsia="黑体" w:hAnsi="黑体" w:hint="eastAsia"/>
          <w:b/>
          <w:bCs/>
          <w:color w:val="auto"/>
          <w:sz w:val="21"/>
          <w:szCs w:val="21"/>
          <w:vertAlign w:val="baseline"/>
          <w:lang w:eastAsia="zh-CN"/>
        </w:rPr>
        <w:t>乙方仅为甲方提供分期付款服务，如交易后甲方与商户出现争议，不影响甲方对乙方的还款责任。</w:t>
      </w:r>
    </w:p>
    <w:p>
      <w:pPr>
        <w:spacing w:before="0" w:beforeAutospacing="0" w:after="0" w:afterAutospacing="0" w:line="360" w:lineRule="exact"/>
        <w:ind w:left="0" w:firstLineChars="200" w:firstLine="420"/>
        <w:rPr>
          <w:rFonts w:ascii="黑体" w:eastAsia="黑体" w:hAnsi="黑体" w:hint="eastAsia"/>
          <w:b/>
          <w:bCs/>
          <w:sz w:val="21"/>
          <w:szCs w:val="21"/>
        </w:rPr>
      </w:pPr>
      <w:r>
        <w:rPr>
          <w:rFonts w:ascii="宋体" w:eastAsia="宋体" w:cs="宋体" w:hAnsi="宋体" w:hint="eastAsia"/>
          <w:color w:val="auto"/>
          <w:sz w:val="21"/>
          <w:szCs w:val="21"/>
          <w:vertAlign w:val="baseline"/>
          <w:lang w:bidi="ar-SA"/>
        </w:rPr>
        <w:t>第二条 息费说明</w:t>
      </w:r>
    </w:p>
    <w:p>
      <w:pPr>
        <w:spacing w:before="0" w:beforeAutospacing="0" w:after="0" w:afterAutospacing="0" w:line="360" w:lineRule="exact"/>
        <w:ind w:left="0" w:firstLine="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rPr>
        <w:t xml:space="preserve">    </w:t>
      </w: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.1</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可能产生的所有息费项目包含分期本金、分期利息，提前还款产生的提前还款违约金</w:t>
      </w:r>
      <w:r>
        <w:rPr>
          <w:rFonts w:ascii="黑体" w:eastAsia="黑体" w:hAnsi="黑体" w:hint="eastAsia"/>
          <w:b/>
          <w:bCs/>
          <w:color w:val="auto"/>
          <w:sz w:val="21"/>
          <w:szCs w:val="21"/>
          <w:vertAlign w:val="baseline"/>
          <w:lang w:eastAsia="zh-CN"/>
        </w:rPr>
        <w:t>（收费标准为</w:t>
      </w:r>
      <w:r>
        <w:rPr>
          <w:rFonts w:ascii="黑体" w:eastAsia="黑体" w:cs="黑体" w:hAnsi="黑体" w:hint="eastAsia"/>
          <w:b/>
          <w:bCs/>
          <w:color w:val="auto"/>
          <w:sz w:val="21"/>
          <w:szCs w:val="21"/>
          <w:vertAlign w:val="baseline"/>
          <w:lang w:eastAsia="zh-CN" w:bidi="ar-SA"/>
        </w:rPr>
        <w:t>分期本金总额乘以单月分期利率</w:t>
      </w:r>
      <w:r>
        <w:rPr>
          <w:rFonts w:ascii="黑体" w:eastAsia="黑体" w:hAnsi="黑体" w:hint="eastAsia"/>
          <w:b/>
          <w:bCs/>
          <w:color w:val="auto"/>
          <w:sz w:val="21"/>
          <w:szCs w:val="21"/>
          <w:vertAlign w:val="baseline"/>
          <w:lang w:eastAsia="zh-CN"/>
        </w:rPr>
        <w:t>，见本协议</w:t>
      </w:r>
      <w:r>
        <w:rPr>
          <w:rFonts w:ascii="黑体" w:eastAsia="黑体" w:hAnsi="黑体" w:hint="eastAsia"/>
          <w:b/>
          <w:bCs/>
          <w:color w:val="auto"/>
          <w:sz w:val="21"/>
          <w:szCs w:val="21"/>
          <w:vertAlign w:val="baseline"/>
          <w:lang w:val="en-US" w:eastAsia="zh-CN"/>
        </w:rPr>
        <w:t>7.1相应条款</w:t>
      </w:r>
      <w:r>
        <w:rPr>
          <w:rFonts w:ascii="黑体" w:eastAsia="黑体" w:hAnsi="黑体" w:hint="eastAsia"/>
          <w:b/>
          <w:bCs/>
          <w:color w:val="auto"/>
          <w:sz w:val="21"/>
          <w:szCs w:val="21"/>
          <w:vertAlign w:val="baseline"/>
          <w:lang w:eastAsia="zh-CN"/>
        </w:rPr>
        <w:t>）</w:t>
      </w:r>
      <w:r>
        <w:rPr>
          <w:rFonts w:ascii="黑体" w:eastAsia="黑体" w:hAnsi="黑体" w:hint="eastAsia"/>
          <w:b/>
          <w:bCs/>
          <w:color w:val="auto"/>
          <w:sz w:val="21"/>
          <w:szCs w:val="21"/>
          <w:vertAlign w:val="baseline"/>
        </w:rPr>
        <w:t>，逾期导致的违约金、利息</w:t>
      </w:r>
      <w:r>
        <w:rPr>
          <w:rFonts w:ascii="黑体" w:eastAsia="黑体" w:hAnsi="黑体" w:hint="eastAsia"/>
          <w:b/>
          <w:bCs/>
          <w:color w:val="auto"/>
          <w:sz w:val="21"/>
          <w:szCs w:val="21"/>
          <w:vertAlign w:val="baseline"/>
          <w:lang w:eastAsia="zh-CN"/>
        </w:rPr>
        <w:t>（具体收取规则及收取标准按照双方已签署的《中国邮政储蓄银行信用卡（个人卡）领用合约》</w:t>
      </w:r>
      <w:r>
        <w:rPr>
          <w:rStyle w:val="23"/>
          <w:rFonts w:ascii="黑体" w:eastAsia="黑体" w:cs="黑体" w:hAnsi="黑体" w:hint="eastAsia"/>
          <w:bCs/>
          <w:sz w:val="21"/>
          <w:szCs w:val="21"/>
          <w:vertAlign w:val="baseline"/>
          <w:lang w:eastAsia="zh-CN" w:bidi="ar-SA"/>
        </w:rPr>
        <w:t>（可通过乙方官方网站www.psbc.com查询）</w:t>
      </w:r>
      <w:r>
        <w:rPr>
          <w:rFonts w:ascii="黑体" w:eastAsia="黑体" w:hAnsi="黑体" w:hint="eastAsia"/>
          <w:b/>
          <w:bCs/>
          <w:color w:val="auto"/>
          <w:sz w:val="21"/>
          <w:szCs w:val="21"/>
          <w:vertAlign w:val="baseline"/>
          <w:lang w:eastAsia="zh-CN"/>
        </w:rPr>
        <w:t>执行）</w:t>
      </w:r>
      <w:r>
        <w:rPr>
          <w:rFonts w:ascii="黑体" w:eastAsia="黑体" w:hAnsi="黑体" w:hint="eastAsia"/>
          <w:b/>
          <w:bCs/>
          <w:color w:val="auto"/>
          <w:sz w:val="21"/>
          <w:szCs w:val="21"/>
          <w:vertAlign w:val="baseline"/>
        </w:rPr>
        <w:t>，可能因为诉讼产生的诉讼费、律师费、处置费等。</w:t>
      </w:r>
    </w:p>
    <w:p>
      <w:pPr>
        <w:keepNext w:val="0"/>
        <w:keepLines w:val="0"/>
        <w:pageBreakBefore w:val="0"/>
        <w:widowControl/>
        <w:suppressLineNumbers w:val="0"/>
        <w:suppressAutoHyphens w:val="0"/>
        <w:spacing w:before="0" w:beforeAutospacing="0" w:after="0" w:afterAutospacing="0" w:line="360" w:lineRule="exact"/>
        <w:ind w:left="0" w:firstLine="422"/>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drawing>
          <wp:anchor distT="0" distB="0" distL="114300" distR="114300" simplePos="0" relativeHeight="12" behindDoc="0" locked="0" layoutInCell="1" hidden="0" allowOverlap="1">
            <wp:simplePos x="0" y="0"/>
            <wp:positionH relativeFrom="column">
              <wp:posOffset>3257550</wp:posOffset>
            </wp:positionH>
            <wp:positionV relativeFrom="paragraph">
              <wp:posOffset>263525</wp:posOffset>
            </wp:positionV>
            <wp:extent cx="969009" cy="457834"/>
            <wp:effectExtent l="0" t="0" r="0" b="0"/>
            <wp:wrapSquare wrapText="bothSides"/>
            <wp:docPr id="2" name="图片 3" descr="计算公式.JPG"/>
            <wp:cNvGraphicFramePr>
              <a:graphicFrameLocks noChangeAspect="1"/>
            </wp:cNvGraphicFramePr>
            <a:graphic>
              <a:graphicData uri="http://schemas.openxmlformats.org/drawingml/2006/picture">
                <pic:pic>
                  <pic:nvPicPr>
                    <pic:cNvPr id="2" name="图片 3 2"/>
                    <pic:cNvPicPr/>
                  </pic:nvPicPr>
                  <pic:blipFill>
                    <a:blip r:embed="rId2"/>
                    <a:srcRect b="-10539" l="33664"/>
                    <a:stretch>
                      <a:fillRect/>
                    </a:stretch>
                  </pic:blipFill>
                  <pic:spPr>
                    <a:xfrm rot="0">
                      <a:off x="0" y="0"/>
                      <a:ext cx="969009" cy="457834"/>
                    </a:xfrm>
                    <a:prstGeom prst="rect"/>
                    <a:noFill/>
                    <a:ln w="9525" cmpd="sng" cap="flat">
                      <a:noFill/>
                      <a:prstDash val="solid"/>
                      <a:miter/>
                    </a:ln>
                  </pic:spPr>
                </pic:pic>
              </a:graphicData>
            </a:graphic>
          </wp:anchor>
        </w:drawing>
      </w: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.2年化利率水平：</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分期年化利率不超过18.25%，年化利率是根据持卡人现金流按单利计算的年化内含报酬率，计算公式：分期本金=</w:t>
      </w:r>
    </w:p>
    <w:p>
      <w:pPr>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p>
    <w:p>
      <w:pPr>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p>
    <w:p>
      <w:pPr>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rPr>
        <w:t>其中n为分期期数，由此计算得出的IRR即为年化利率（单利），因选择办理的分期产品与账单日间隔、每月实际天数、提前还款、合作商户等不同情况而有差异。</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.3息费计算方式：分期利息扣收方式为分期收取，按照“等本等息”方式收取，每月偿还。</w:t>
      </w:r>
    </w:p>
    <w:p>
      <w:pPr>
        <w:spacing w:before="0" w:beforeAutospacing="0" w:after="0" w:afterAutospacing="0" w:line="360" w:lineRule="exact"/>
        <w:ind w:left="0" w:firstLineChars="200" w:firstLine="420"/>
        <w:rPr>
          <w:rFonts w:ascii="黑体" w:eastAsia="黑体" w:hAnsi="黑体"/>
          <w:b/>
          <w:bCs/>
          <w:color w:val="auto"/>
          <w:sz w:val="21"/>
          <w:szCs w:val="21"/>
          <w:vertAlign w:val="baseline"/>
        </w:rPr>
      </w:pPr>
      <w:r>
        <w:rPr>
          <w:rFonts w:ascii="黑体" w:eastAsia="黑体" w:hAnsi="黑体" w:hint="eastAsia"/>
          <w:b/>
          <w:bCs/>
          <w:color w:val="auto"/>
          <w:sz w:val="21"/>
          <w:szCs w:val="21"/>
          <w:vertAlign w:val="baseline"/>
          <w:lang w:val="en-US" w:eastAsia="zh-CN"/>
        </w:rPr>
        <w:t>2</w:t>
      </w:r>
      <w:r>
        <w:rPr>
          <w:rFonts w:ascii="黑体" w:eastAsia="黑体" w:hAnsi="黑体" w:hint="eastAsia"/>
          <w:b/>
          <w:bCs/>
          <w:color w:val="auto"/>
          <w:sz w:val="21"/>
          <w:szCs w:val="21"/>
          <w:vertAlign w:val="baseline"/>
        </w:rPr>
        <w:t>.4息费计收标准：甲方委托乙方支付给指定商户的，甲方可通过在分期借款合同中填写确认；甲方使用其在指定类型商户进行消费的，息费计收标准见附件。</w:t>
      </w:r>
    </w:p>
    <w:p>
      <w:pPr>
        <w:spacing w:before="0" w:beforeAutospacing="0" w:after="0" w:afterAutospacing="0" w:line="360" w:lineRule="exact"/>
        <w:ind w:left="0" w:firstLineChars="200" w:firstLine="420"/>
        <w:rPr>
          <w:rFonts w:ascii="黑体" w:eastAsia="黑体" w:hAnsi="黑体" w:hint="eastAsia"/>
          <w:b/>
          <w:bCs/>
          <w:sz w:val="21"/>
          <w:szCs w:val="21"/>
        </w:rPr>
      </w:pPr>
      <w:r>
        <w:rPr>
          <w:rFonts w:ascii="宋体" w:eastAsia="宋体" w:cs="宋体" w:hAnsi="宋体" w:hint="eastAsia"/>
          <w:color w:val="auto"/>
          <w:sz w:val="21"/>
          <w:szCs w:val="21"/>
          <w:vertAlign w:val="baseline"/>
          <w:lang w:bidi="ar-SA"/>
        </w:rPr>
        <w:t>第三条 资金用途</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lang w:eastAsia="zh-CN"/>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.1甲方需配合乙方开展上门勘</w:t>
      </w:r>
      <w:r>
        <w:rPr>
          <w:rFonts w:ascii="黑体" w:eastAsia="黑体" w:hAnsi="黑体" w:hint="eastAsia"/>
          <w:b/>
          <w:bCs/>
          <w:color w:val="auto"/>
          <w:sz w:val="21"/>
          <w:szCs w:val="21"/>
          <w:vertAlign w:val="baseline"/>
          <w:lang w:eastAsia="zh-CN"/>
        </w:rPr>
        <w:t>查</w:t>
      </w:r>
      <w:r>
        <w:rPr>
          <w:rFonts w:ascii="黑体" w:eastAsia="黑体" w:hAnsi="黑体" w:hint="eastAsia"/>
          <w:b/>
          <w:bCs/>
          <w:color w:val="auto"/>
          <w:sz w:val="21"/>
          <w:szCs w:val="21"/>
          <w:vertAlign w:val="baseline"/>
        </w:rPr>
        <w:t>工作，确保装修情况真实。</w:t>
      </w:r>
      <w:r>
        <w:rPr>
          <w:rFonts w:ascii="黑体" w:eastAsia="黑体" w:hAnsi="黑体" w:hint="eastAsia"/>
          <w:b/>
          <w:bCs/>
          <w:color w:val="auto"/>
          <w:sz w:val="21"/>
          <w:szCs w:val="21"/>
          <w:vertAlign w:val="baseline"/>
          <w:lang w:eastAsia="zh-CN"/>
        </w:rPr>
        <w:t>对于勘查未通过的情况，乙方有权拒绝装修分期申请。</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.2</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分期额度仅能用于个人家庭装修</w:t>
      </w:r>
      <w:r>
        <w:rPr>
          <w:rFonts w:ascii="黑体" w:eastAsia="黑体" w:hAnsi="黑体" w:hint="eastAsia"/>
          <w:b/>
          <w:bCs/>
          <w:color w:val="auto"/>
          <w:sz w:val="21"/>
          <w:szCs w:val="21"/>
          <w:vertAlign w:val="baseline"/>
          <w:lang w:eastAsia="zh-CN"/>
        </w:rPr>
        <w:t>相关用途</w:t>
      </w:r>
      <w:r>
        <w:rPr>
          <w:rFonts w:ascii="黑体" w:eastAsia="黑体" w:hAnsi="黑体" w:hint="eastAsia"/>
          <w:b/>
          <w:bCs/>
          <w:color w:val="auto"/>
          <w:sz w:val="21"/>
          <w:szCs w:val="21"/>
          <w:vertAlign w:val="baseline"/>
        </w:rPr>
        <w:t>，不得</w:t>
      </w:r>
      <w:r>
        <w:rPr>
          <w:rFonts w:ascii="黑体" w:eastAsia="黑体" w:cs="黑体" w:hAnsi="黑体" w:hint="eastAsia"/>
          <w:b/>
          <w:bCs/>
          <w:color w:val="auto"/>
          <w:sz w:val="21"/>
          <w:szCs w:val="21"/>
          <w:vertAlign w:val="baseline"/>
          <w:lang w:bidi="ar-SA"/>
        </w:rPr>
        <w:t>用于</w:t>
      </w:r>
      <w:r>
        <w:rPr>
          <w:rFonts w:ascii="黑体" w:eastAsia="黑体" w:cs="黑体" w:hAnsi="黑体" w:hint="eastAsia"/>
          <w:b/>
          <w:bCs/>
          <w:color w:val="auto"/>
          <w:sz w:val="21"/>
          <w:szCs w:val="21"/>
          <w:vertAlign w:val="baseline"/>
          <w:lang w:val="en-US" w:eastAsia="zh-CN" w:bidi="ar-SA"/>
        </w:rPr>
        <w:t>偿还贷款、</w:t>
      </w:r>
      <w:r>
        <w:rPr>
          <w:rFonts w:ascii="黑体" w:eastAsia="黑体" w:cs="黑体" w:hAnsi="黑体" w:hint="eastAsia"/>
          <w:b/>
          <w:bCs/>
          <w:color w:val="auto"/>
          <w:sz w:val="21"/>
          <w:szCs w:val="21"/>
          <w:vertAlign w:val="baseline"/>
          <w:lang w:val="zh-CN" w:eastAsia="zh-CN" w:bidi="ar-SA"/>
        </w:rPr>
        <w:t>个人投资理财</w:t>
      </w:r>
      <w:r>
        <w:rPr>
          <w:rFonts w:ascii="黑体" w:eastAsia="黑体" w:cs="黑体" w:hAnsi="黑体" w:hint="eastAsia"/>
          <w:b/>
          <w:bCs/>
          <w:color w:val="auto"/>
          <w:sz w:val="21"/>
          <w:szCs w:val="21"/>
          <w:vertAlign w:val="baseline"/>
          <w:lang w:eastAsia="zh-CN" w:bidi="ar-SA"/>
        </w:rPr>
        <w:t>（包括但不限于股票、期货等）</w:t>
      </w:r>
      <w:r>
        <w:rPr>
          <w:rFonts w:ascii="黑体" w:eastAsia="黑体" w:cs="黑体" w:hAnsi="黑体" w:hint="eastAsia"/>
          <w:b/>
          <w:bCs/>
          <w:color w:val="auto"/>
          <w:sz w:val="21"/>
          <w:szCs w:val="21"/>
          <w:vertAlign w:val="baseline"/>
          <w:lang w:val="zh-CN" w:eastAsia="zh-CN" w:bidi="ar-SA"/>
        </w:rPr>
        <w:t>、经营资金周转、房地产</w:t>
      </w:r>
      <w:r>
        <w:rPr>
          <w:rFonts w:ascii="黑体" w:eastAsia="黑体" w:cs="黑体" w:hAnsi="黑体" w:hint="eastAsia"/>
          <w:b/>
          <w:bCs/>
          <w:color w:val="auto"/>
          <w:sz w:val="21"/>
          <w:szCs w:val="21"/>
          <w:vertAlign w:val="baseline"/>
          <w:lang w:bidi="ar-SA"/>
        </w:rPr>
        <w:t>等用途</w:t>
      </w:r>
      <w:r>
        <w:rPr>
          <w:rFonts w:ascii="黑体" w:eastAsia="黑体" w:cs="黑体" w:hAnsi="黑体" w:hint="eastAsia"/>
          <w:b/>
          <w:bCs/>
          <w:color w:val="auto"/>
          <w:sz w:val="21"/>
          <w:szCs w:val="21"/>
          <w:vertAlign w:val="baseline"/>
          <w:lang w:eastAsia="zh-CN" w:bidi="ar-SA"/>
        </w:rPr>
        <w:t>，</w:t>
      </w:r>
      <w:r>
        <w:rPr>
          <w:rFonts w:ascii="黑体" w:eastAsia="黑体" w:cs="黑体" w:hAnsi="黑体" w:hint="eastAsia"/>
          <w:b/>
          <w:bCs/>
          <w:color w:val="auto"/>
          <w:sz w:val="21"/>
          <w:szCs w:val="21"/>
          <w:vertAlign w:val="baseline"/>
          <w:lang w:bidi="ar-SA"/>
        </w:rPr>
        <w:t>严禁流入政策限制或者禁止性领域。</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.3甲方须保留与申请用途相符合的交易凭证、合同或发票，并有义务根据乙方要求随时提供上述证明材料原件。</w:t>
      </w:r>
    </w:p>
    <w:p>
      <w:pPr>
        <w:spacing w:before="0" w:beforeAutospacing="0" w:after="0" w:afterAutospacing="0" w:line="360" w:lineRule="exact"/>
        <w:ind w:left="0" w:firstLineChars="200" w:firstLine="420"/>
        <w:rPr>
          <w:rFonts w:ascii="黑体" w:eastAsia="黑体" w:hAnsi="黑体"/>
          <w:b/>
          <w:bCs/>
          <w:color w:val="auto"/>
          <w:sz w:val="21"/>
          <w:szCs w:val="21"/>
          <w:vertAlign w:val="baseline"/>
        </w:rPr>
      </w:pPr>
      <w:r>
        <w:rPr>
          <w:rFonts w:ascii="黑体" w:eastAsia="黑体" w:hAnsi="黑体" w:hint="eastAsia"/>
          <w:b/>
          <w:bCs/>
          <w:color w:val="auto"/>
          <w:sz w:val="21"/>
          <w:szCs w:val="21"/>
          <w:vertAlign w:val="baseline"/>
          <w:lang w:val="en-US" w:eastAsia="zh-CN"/>
        </w:rPr>
        <w:t>3</w:t>
      </w:r>
      <w:r>
        <w:rPr>
          <w:rFonts w:ascii="黑体" w:eastAsia="黑体" w:hAnsi="黑体" w:hint="eastAsia"/>
          <w:b/>
          <w:bCs/>
          <w:color w:val="auto"/>
          <w:sz w:val="21"/>
          <w:szCs w:val="21"/>
          <w:vertAlign w:val="baseline"/>
        </w:rPr>
        <w:t>.4如甲方未按申请用途使用</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分期款项或不能按要求提供资金用途证明的，乙方有权随时中止或终止相应服务（包括但不限于：停止增信业务、禁止调增额度、禁止给予专项分期等）或要求甲方提前一次性偿还</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分期剩余欠款，包括但不限于本金、利息、违约金等全部应还款项。</w:t>
      </w:r>
    </w:p>
    <w:p>
      <w:pPr>
        <w:spacing w:before="0" w:beforeAutospacing="0" w:after="0" w:afterAutospacing="0" w:line="360" w:lineRule="exact"/>
        <w:ind w:left="0" w:firstLineChars="200" w:firstLine="420"/>
        <w:rPr>
          <w:rFonts w:ascii="黑体" w:eastAsia="黑体" w:hAnsi="黑体" w:hint="eastAsia"/>
          <w:b/>
          <w:bCs/>
          <w:sz w:val="21"/>
          <w:szCs w:val="21"/>
        </w:rPr>
      </w:pPr>
      <w:r>
        <w:rPr>
          <w:rFonts w:ascii="宋体" w:eastAsia="宋体" w:cs="宋体" w:hAnsi="宋体" w:hint="eastAsia"/>
          <w:color w:val="auto"/>
          <w:sz w:val="21"/>
          <w:szCs w:val="21"/>
          <w:vertAlign w:val="baseline"/>
          <w:lang w:bidi="ar-SA"/>
        </w:rPr>
        <w:t xml:space="preserve">第四条 </w:t>
      </w:r>
      <w:r>
        <w:rPr>
          <w:rFonts w:ascii="宋体" w:eastAsia="宋体" w:cs="宋体" w:hAnsi="宋体" w:hint="eastAsia"/>
          <w:color w:val="auto"/>
          <w:sz w:val="21"/>
          <w:szCs w:val="21"/>
          <w:vertAlign w:val="baseline"/>
          <w:lang w:eastAsia="zh-CN" w:bidi="ar-SA"/>
        </w:rPr>
        <w:t>额度及期数</w:t>
      </w:r>
    </w:p>
    <w:p>
      <w:pPr>
        <w:spacing w:before="0" w:beforeAutospacing="0" w:after="0" w:afterAutospacing="0" w:line="360" w:lineRule="exact"/>
        <w:ind w:left="0" w:firstLineChars="200" w:firstLine="420"/>
        <w:rPr>
          <w:rFonts w:ascii="黑体" w:eastAsia="黑体" w:cs="黑体" w:hAnsi="黑体" w:hint="eastAsia"/>
          <w:b/>
          <w:bCs/>
          <w:color w:val="auto"/>
          <w:sz w:val="21"/>
          <w:szCs w:val="21"/>
          <w:vertAlign w:val="baseline"/>
          <w:lang w:val="en-US" w:eastAsia="zh-CN" w:bidi="ar-SA"/>
        </w:rPr>
      </w:pPr>
      <w:r>
        <w:rPr>
          <w:rFonts w:ascii="黑体" w:eastAsia="黑体" w:cs="黑体" w:hAnsi="黑体" w:hint="eastAsia"/>
          <w:b/>
          <w:bCs/>
          <w:color w:val="auto"/>
          <w:sz w:val="21"/>
          <w:szCs w:val="21"/>
          <w:vertAlign w:val="baseline"/>
          <w:lang w:val="en-US" w:eastAsia="zh-CN" w:bidi="ar-SA"/>
        </w:rPr>
        <w:t>4.</w:t>
      </w:r>
      <w:r>
        <w:rPr>
          <w:rFonts w:ascii="黑体" w:eastAsia="黑体" w:cs="黑体" w:hAnsi="黑体" w:hint="eastAsia"/>
          <w:b/>
          <w:bCs/>
          <w:color w:val="auto"/>
          <w:sz w:val="21"/>
          <w:szCs w:val="21"/>
          <w:vertAlign w:val="baseline"/>
          <w:lang w:bidi="ar-SA"/>
        </w:rPr>
        <w:t>1甲方</w:t>
      </w:r>
      <w:r>
        <w:rPr>
          <w:rFonts w:ascii="黑体" w:eastAsia="黑体" w:cs="黑体" w:hAnsi="黑体" w:hint="eastAsia"/>
          <w:b/>
          <w:bCs/>
          <w:color w:val="auto"/>
          <w:sz w:val="21"/>
          <w:szCs w:val="21"/>
          <w:vertAlign w:val="baseline"/>
          <w:lang w:eastAsia="zh-CN" w:bidi="ar-SA"/>
        </w:rPr>
        <w:t>申请的装修专用卡分期</w:t>
      </w:r>
      <w:r>
        <w:rPr>
          <w:rFonts w:ascii="黑体" w:eastAsia="黑体" w:cs="黑体" w:hAnsi="黑体" w:hint="eastAsia"/>
          <w:b/>
          <w:bCs/>
          <w:color w:val="auto"/>
          <w:sz w:val="21"/>
          <w:szCs w:val="21"/>
          <w:vertAlign w:val="baseline"/>
          <w:lang w:bidi="ar-SA"/>
        </w:rPr>
        <w:t>额度由乙方评定，乙方有权根据甲方的资信状况及用卡情况调整或取消</w:t>
      </w:r>
      <w:r>
        <w:rPr>
          <w:rFonts w:ascii="黑体" w:eastAsia="黑体" w:cs="黑体" w:hAnsi="黑体" w:hint="eastAsia"/>
          <w:b/>
          <w:bCs/>
          <w:color w:val="auto"/>
          <w:sz w:val="21"/>
          <w:szCs w:val="21"/>
          <w:vertAlign w:val="baseline"/>
          <w:lang w:eastAsia="zh-CN" w:bidi="ar-SA"/>
        </w:rPr>
        <w:t>装修专用卡分期</w:t>
      </w:r>
      <w:r>
        <w:rPr>
          <w:rFonts w:ascii="黑体" w:eastAsia="黑体" w:cs="黑体" w:hAnsi="黑体" w:hint="eastAsia"/>
          <w:b/>
          <w:bCs/>
          <w:color w:val="auto"/>
          <w:sz w:val="21"/>
          <w:szCs w:val="21"/>
          <w:vertAlign w:val="baseline"/>
          <w:lang w:bidi="ar-SA"/>
        </w:rPr>
        <w:t>额度。</w:t>
      </w:r>
    </w:p>
    <w:p>
      <w:pPr>
        <w:spacing w:before="0" w:beforeAutospacing="0" w:after="0" w:afterAutospacing="0" w:line="360" w:lineRule="exact"/>
        <w:ind w:left="0" w:firstLineChars="200" w:firstLine="420"/>
        <w:rPr>
          <w:rFonts w:ascii="Calibri" w:eastAsia="宋体" w:hAnsi="宋体"/>
          <w:color w:val="auto"/>
          <w:sz w:val="21"/>
          <w:szCs w:val="21"/>
          <w:vertAlign w:val="baseline"/>
        </w:rPr>
      </w:pPr>
      <w:r>
        <w:rPr>
          <w:rFonts w:ascii="宋体" w:eastAsia="宋体" w:cs="宋体" w:hAnsi="宋体" w:hint="eastAsia"/>
          <w:color w:val="auto"/>
          <w:sz w:val="21"/>
          <w:szCs w:val="21"/>
          <w:vertAlign w:val="baseline"/>
          <w:lang w:val="en-US" w:eastAsia="zh-CN" w:bidi="ar-SA"/>
        </w:rPr>
        <w:t xml:space="preserve">4.2 </w:t>
      </w:r>
      <w:r>
        <w:rPr>
          <w:rFonts w:ascii="宋体" w:eastAsia="宋体" w:cs="宋体" w:hAnsi="宋体" w:hint="eastAsia"/>
          <w:color w:val="auto"/>
          <w:sz w:val="21"/>
          <w:szCs w:val="21"/>
          <w:vertAlign w:val="baseline"/>
          <w:lang w:eastAsia="zh-CN" w:bidi="ar-SA"/>
        </w:rPr>
        <w:t>装修分期</w:t>
      </w:r>
      <w:r>
        <w:rPr>
          <w:rFonts w:ascii="宋体" w:eastAsia="宋体" w:cs="宋体" w:hAnsi="宋体" w:hint="eastAsia"/>
          <w:color w:val="auto"/>
          <w:sz w:val="21"/>
          <w:szCs w:val="21"/>
          <w:vertAlign w:val="baseline"/>
          <w:lang w:bidi="ar-SA"/>
        </w:rPr>
        <w:t>仅限人民币币种，</w:t>
      </w:r>
      <w:r>
        <w:rPr>
          <w:rFonts w:ascii="宋体" w:eastAsia="宋体" w:cs="宋体" w:hAnsi="宋体" w:hint="eastAsia"/>
          <w:color w:val="auto"/>
          <w:sz w:val="21"/>
          <w:szCs w:val="21"/>
          <w:vertAlign w:val="baseline"/>
          <w:lang w:val="en-US" w:eastAsia="zh-CN" w:bidi="ar-SA"/>
        </w:rPr>
        <w:t>单笔</w:t>
      </w:r>
      <w:r>
        <w:rPr>
          <w:rFonts w:ascii="宋体" w:eastAsia="宋体" w:cs="宋体" w:hAnsi="宋体" w:hint="eastAsia"/>
          <w:color w:val="auto"/>
          <w:sz w:val="21"/>
          <w:szCs w:val="21"/>
          <w:vertAlign w:val="baseline"/>
          <w:lang w:bidi="ar-SA"/>
        </w:rPr>
        <w:t>最低</w:t>
      </w:r>
      <w:r>
        <w:rPr>
          <w:rFonts w:ascii="宋体" w:eastAsia="宋体" w:cs="宋体" w:hAnsi="宋体" w:hint="eastAsia"/>
          <w:color w:val="auto"/>
          <w:sz w:val="21"/>
          <w:szCs w:val="21"/>
          <w:vertAlign w:val="baseline"/>
          <w:lang w:val="en-US" w:eastAsia="zh-CN" w:bidi="ar-SA"/>
        </w:rPr>
        <w:t>使用</w:t>
      </w:r>
      <w:r>
        <w:rPr>
          <w:rFonts w:ascii="宋体" w:eastAsia="宋体" w:cs="宋体" w:hAnsi="宋体" w:hint="eastAsia"/>
          <w:color w:val="auto"/>
          <w:sz w:val="21"/>
          <w:szCs w:val="21"/>
          <w:vertAlign w:val="baseline"/>
          <w:lang w:bidi="ar-SA"/>
        </w:rPr>
        <w:t>金额</w:t>
      </w:r>
      <w:r>
        <w:rPr>
          <w:rFonts w:ascii="宋体" w:eastAsia="宋体" w:cs="宋体" w:hAnsi="宋体" w:hint="eastAsia"/>
          <w:color w:val="auto"/>
          <w:sz w:val="21"/>
          <w:szCs w:val="21"/>
          <w:vertAlign w:val="baseline"/>
          <w:lang w:val="en-US" w:eastAsia="zh-CN" w:bidi="ar-SA"/>
        </w:rPr>
        <w:t>需满足乙方规定的最低金额</w:t>
      </w:r>
      <w:r>
        <w:rPr>
          <w:rFonts w:ascii="宋体" w:eastAsia="宋体" w:cs="宋体" w:hAnsi="宋体" w:hint="eastAsia"/>
          <w:color w:val="auto"/>
          <w:sz w:val="21"/>
          <w:szCs w:val="21"/>
          <w:vertAlign w:val="baseline"/>
          <w:lang w:bidi="ar-SA"/>
        </w:rPr>
        <w:t>。</w:t>
      </w:r>
    </w:p>
    <w:p>
      <w:pPr>
        <w:spacing w:before="0" w:beforeAutospacing="0" w:after="0" w:afterAutospacing="0" w:line="360" w:lineRule="exact"/>
        <w:ind w:left="0" w:firstLineChars="200" w:firstLine="420"/>
        <w:rPr>
          <w:rFonts w:ascii="宋体" w:eastAsia="宋体" w:cs="宋体" w:hAnsi="宋体"/>
          <w:color w:val="auto"/>
          <w:sz w:val="21"/>
          <w:szCs w:val="21"/>
          <w:vertAlign w:val="baseline"/>
          <w:lang w:val="en-US" w:eastAsia="zh-CN" w:bidi="ar-SA"/>
        </w:rPr>
      </w:pPr>
      <w:r>
        <w:rPr>
          <w:rFonts w:ascii="宋体" w:eastAsia="宋体" w:cs="宋体" w:hAnsi="宋体" w:hint="eastAsia"/>
          <w:color w:val="auto"/>
          <w:sz w:val="21"/>
          <w:szCs w:val="21"/>
          <w:vertAlign w:val="baseline"/>
          <w:lang w:val="en-US" w:eastAsia="zh-CN" w:bidi="ar-SA"/>
        </w:rPr>
        <w:t>4.3乙方为甲方提供12期、24期、36期、48期和60期</w:t>
      </w:r>
      <w:r>
        <w:rPr>
          <w:rFonts w:ascii="宋体" w:eastAsia="宋体" w:cs="宋体" w:hAnsi="宋体" w:hint="eastAsia"/>
          <w:color w:val="auto"/>
          <w:sz w:val="21"/>
          <w:szCs w:val="21"/>
          <w:vertAlign w:val="baseline"/>
          <w:lang w:eastAsia="zh-CN" w:bidi="ar-SA"/>
        </w:rPr>
        <w:t>的</w:t>
      </w:r>
      <w:r>
        <w:rPr>
          <w:rFonts w:ascii="宋体" w:eastAsia="宋体" w:cs="宋体" w:hAnsi="宋体" w:hint="eastAsia"/>
          <w:color w:val="auto"/>
          <w:sz w:val="21"/>
          <w:szCs w:val="21"/>
          <w:vertAlign w:val="baseline"/>
          <w:lang w:val="en-US" w:eastAsia="zh-CN" w:bidi="ar-SA"/>
        </w:rPr>
        <w:t>期数选择。</w:t>
      </w:r>
    </w:p>
    <w:p>
      <w:pPr>
        <w:spacing w:before="0" w:beforeAutospacing="0" w:after="0" w:afterAutospacing="0" w:line="360" w:lineRule="exact"/>
        <w:ind w:left="0" w:firstLineChars="200" w:firstLine="420"/>
        <w:rPr>
          <w:rFonts w:ascii="Calibri" w:eastAsia="宋体" w:hAnsi="宋体"/>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五</w:t>
      </w:r>
      <w:r>
        <w:rPr>
          <w:rFonts w:ascii="宋体" w:eastAsia="宋体" w:cs="宋体" w:hAnsi="宋体" w:hint="eastAsia"/>
          <w:color w:val="auto"/>
          <w:sz w:val="21"/>
          <w:szCs w:val="21"/>
          <w:vertAlign w:val="baseline"/>
          <w:lang w:bidi="ar-SA"/>
        </w:rPr>
        <w:t>条 产品及额度申请</w:t>
      </w:r>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eastAsia="zh-CN" w:bidi="ar-SA"/>
        </w:rPr>
      </w:pPr>
      <w:r>
        <w:rPr>
          <w:rFonts w:ascii="宋体" w:eastAsia="宋体" w:cs="宋体" w:hAnsi="宋体" w:hint="eastAsia"/>
          <w:color w:val="auto"/>
          <w:sz w:val="21"/>
          <w:szCs w:val="21"/>
          <w:vertAlign w:val="baseline"/>
          <w:lang w:val="en-US" w:eastAsia="zh-CN" w:bidi="ar-SA"/>
        </w:rPr>
        <w:t>5</w:t>
      </w:r>
      <w:r>
        <w:rPr>
          <w:rFonts w:ascii="宋体" w:eastAsia="宋体" w:cs="宋体" w:hAnsi="宋体" w:hint="eastAsia"/>
          <w:color w:val="auto"/>
          <w:sz w:val="21"/>
          <w:szCs w:val="21"/>
          <w:vertAlign w:val="baseline"/>
          <w:lang w:bidi="ar-SA"/>
        </w:rPr>
        <w:t>.1甲方可通过</w:t>
      </w:r>
      <w:r>
        <w:rPr>
          <w:rFonts w:ascii="宋体" w:eastAsia="宋体" w:cs="宋体" w:hAnsi="宋体" w:hint="eastAsia"/>
          <w:color w:val="auto"/>
          <w:sz w:val="21"/>
          <w:szCs w:val="21"/>
          <w:vertAlign w:val="baseline"/>
          <w:lang w:val="en-US" w:eastAsia="zh-CN" w:bidi="ar-SA"/>
        </w:rPr>
        <w:t>乙方</w:t>
      </w:r>
      <w:r>
        <w:rPr>
          <w:rFonts w:ascii="宋体" w:eastAsia="宋体" w:cs="宋体" w:hAnsi="宋体" w:hint="eastAsia"/>
          <w:color w:val="auto"/>
          <w:sz w:val="21"/>
          <w:szCs w:val="21"/>
          <w:vertAlign w:val="baseline"/>
          <w:lang w:bidi="ar-SA"/>
        </w:rPr>
        <w:t>营业网点</w:t>
      </w:r>
      <w:r>
        <w:rPr>
          <w:rFonts w:ascii="宋体" w:eastAsia="宋体" w:cs="宋体" w:hAnsi="宋体" w:hint="eastAsia"/>
          <w:color w:val="auto"/>
          <w:sz w:val="21"/>
          <w:szCs w:val="21"/>
          <w:vertAlign w:val="baseline"/>
          <w:lang w:val="en-US" w:eastAsia="zh-CN" w:bidi="ar-SA"/>
        </w:rPr>
        <w:t>及乙方开放的申请渠道</w:t>
      </w:r>
      <w:r>
        <w:rPr>
          <w:rFonts w:ascii="宋体" w:eastAsia="宋体" w:cs="宋体" w:hAnsi="宋体" w:hint="eastAsia"/>
          <w:color w:val="auto"/>
          <w:sz w:val="21"/>
          <w:szCs w:val="21"/>
          <w:vertAlign w:val="baseline"/>
          <w:lang w:bidi="ar-SA"/>
        </w:rPr>
        <w:t>申办</w:t>
      </w:r>
      <w:r>
        <w:rPr>
          <w:rFonts w:ascii="宋体" w:eastAsia="宋体" w:cs="宋体" w:hAnsi="宋体" w:hint="eastAsia"/>
          <w:color w:val="auto"/>
          <w:sz w:val="21"/>
          <w:szCs w:val="21"/>
          <w:vertAlign w:val="baseline"/>
          <w:lang w:eastAsia="zh-CN" w:bidi="ar-SA"/>
        </w:rPr>
        <w:t>装修专用卡</w:t>
      </w:r>
      <w:r>
        <w:rPr>
          <w:rFonts w:ascii="宋体" w:eastAsia="宋体" w:cs="宋体" w:hAnsi="宋体" w:hint="eastAsia"/>
          <w:color w:val="auto"/>
          <w:sz w:val="21"/>
          <w:szCs w:val="21"/>
          <w:vertAlign w:val="baseline"/>
          <w:lang w:bidi="ar-SA"/>
        </w:rPr>
        <w:t>，申请办理时需提供乙方要求的相关材料</w:t>
      </w:r>
      <w:r>
        <w:rPr>
          <w:rFonts w:ascii="宋体" w:eastAsia="宋体" w:cs="宋体" w:hAnsi="宋体" w:hint="eastAsia"/>
          <w:color w:val="auto"/>
          <w:sz w:val="21"/>
          <w:szCs w:val="21"/>
          <w:vertAlign w:val="baseline"/>
          <w:lang w:eastAsia="zh-CN" w:bidi="ar-SA"/>
        </w:rPr>
        <w:t>，乙方有权依据申请人资信状况，独立决定是否同意装修专用卡的申请及授予</w:t>
      </w:r>
      <w:r>
        <w:rPr>
          <w:rFonts w:ascii="宋体" w:eastAsia="宋体" w:cs="宋体" w:hAnsi="宋体" w:hint="eastAsia"/>
          <w:color w:val="auto"/>
          <w:sz w:val="21"/>
          <w:szCs w:val="21"/>
          <w:vertAlign w:val="baseline"/>
          <w:lang w:val="en-US" w:eastAsia="zh-CN" w:bidi="ar-SA"/>
        </w:rPr>
        <w:t>的</w:t>
      </w:r>
      <w:r>
        <w:rPr>
          <w:rFonts w:ascii="宋体" w:eastAsia="宋体" w:cs="宋体" w:hAnsi="宋体" w:hint="eastAsia"/>
          <w:color w:val="auto"/>
          <w:sz w:val="21"/>
          <w:szCs w:val="21"/>
          <w:vertAlign w:val="baseline"/>
          <w:lang w:eastAsia="zh-CN" w:bidi="ar-SA"/>
        </w:rPr>
        <w:t>分期额度。</w:t>
      </w:r>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bidi="ar-SA"/>
        </w:rPr>
      </w:pPr>
      <w:r>
        <w:rPr>
          <w:rFonts w:ascii="宋体" w:eastAsia="宋体" w:cs="宋体" w:hAnsi="宋体" w:hint="eastAsia"/>
          <w:color w:val="auto"/>
          <w:sz w:val="21"/>
          <w:szCs w:val="21"/>
          <w:vertAlign w:val="baseline"/>
          <w:lang w:val="en-US" w:eastAsia="zh-CN" w:bidi="ar-SA"/>
        </w:rPr>
        <w:t>5</w:t>
      </w:r>
      <w:r>
        <w:rPr>
          <w:rFonts w:ascii="宋体" w:eastAsia="宋体" w:cs="宋体" w:hAnsi="宋体" w:hint="eastAsia"/>
          <w:color w:val="auto"/>
          <w:sz w:val="21"/>
          <w:szCs w:val="21"/>
          <w:vertAlign w:val="baseline"/>
          <w:lang w:bidi="ar-SA"/>
        </w:rPr>
        <w:t>.2甲方可通过乙方电子渠道（如邮储信用卡APP、邮储银行APP）自主激活</w:t>
      </w:r>
      <w:r>
        <w:rPr>
          <w:rFonts w:ascii="宋体" w:eastAsia="宋体" w:cs="宋体" w:hAnsi="宋体" w:hint="eastAsia"/>
          <w:color w:val="auto"/>
          <w:sz w:val="21"/>
          <w:szCs w:val="21"/>
          <w:vertAlign w:val="baseline"/>
          <w:lang w:eastAsia="zh-CN" w:bidi="ar-SA"/>
        </w:rPr>
        <w:t>装修专用卡</w:t>
      </w:r>
      <w:r>
        <w:rPr>
          <w:rFonts w:ascii="宋体" w:eastAsia="宋体" w:cs="宋体" w:hAnsi="宋体" w:hint="eastAsia"/>
          <w:color w:val="auto"/>
          <w:sz w:val="21"/>
          <w:szCs w:val="21"/>
          <w:vertAlign w:val="baseline"/>
          <w:lang w:bidi="ar-SA"/>
        </w:rPr>
        <w:t>。</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.3甲方所交易的金额、期数以乙方记载的经甲方确认的信息为准</w:t>
      </w:r>
      <w:r>
        <w:rPr>
          <w:rFonts w:ascii="宋体" w:eastAsia="宋体" w:cs="宋体" w:hAnsi="宋体" w:hint="eastAsia"/>
          <w:color w:val="auto"/>
          <w:sz w:val="21"/>
          <w:szCs w:val="21"/>
          <w:vertAlign w:val="baseline"/>
          <w:lang w:bidi="ar-SA"/>
        </w:rPr>
        <w:t>，包括但不限于电话录音记录、纸质记录</w:t>
      </w:r>
      <w:r>
        <w:rPr>
          <w:rFonts w:ascii="宋体" w:eastAsia="宋体" w:cs="宋体" w:hAnsi="宋体" w:hint="eastAsia"/>
          <w:color w:val="auto"/>
          <w:sz w:val="21"/>
          <w:szCs w:val="21"/>
          <w:vertAlign w:val="baseline"/>
          <w:lang w:eastAsia="zh-CN" w:bidi="ar-SA"/>
        </w:rPr>
        <w:t>、</w:t>
      </w:r>
      <w:r>
        <w:rPr>
          <w:rFonts w:ascii="宋体" w:eastAsia="宋体" w:cs="宋体" w:hAnsi="宋体" w:hint="eastAsia"/>
          <w:color w:val="auto"/>
          <w:sz w:val="21"/>
          <w:szCs w:val="21"/>
          <w:vertAlign w:val="baseline"/>
          <w:lang w:bidi="ar-SA"/>
        </w:rPr>
        <w:t>电子渠道申请确认记录等</w:t>
      </w:r>
      <w:r>
        <w:rPr>
          <w:rFonts w:ascii="宋体" w:eastAsia="宋体" w:cs="宋体" w:hAnsi="宋体" w:hint="eastAsia"/>
          <w:color w:val="auto"/>
          <w:sz w:val="21"/>
          <w:szCs w:val="21"/>
          <w:vertAlign w:val="baseline"/>
          <w:lang w:eastAsia="zh-CN" w:bidi="ar-SA"/>
        </w:rPr>
        <w:t>。</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.4</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分期额度具备专项性特点</w:t>
      </w:r>
      <w:r>
        <w:rPr>
          <w:rFonts w:ascii="黑体" w:eastAsia="黑体" w:hAnsi="黑体" w:hint="eastAsia"/>
          <w:b/>
          <w:bCs/>
          <w:color w:val="auto"/>
          <w:sz w:val="21"/>
          <w:szCs w:val="21"/>
          <w:vertAlign w:val="baseline"/>
          <w:lang w:eastAsia="zh-CN"/>
        </w:rPr>
        <w:t>，不可循环</w:t>
      </w:r>
      <w:r>
        <w:rPr>
          <w:rFonts w:ascii="黑体" w:eastAsia="黑体" w:hAnsi="黑体" w:hint="eastAsia"/>
          <w:b/>
          <w:bCs/>
          <w:color w:val="auto"/>
          <w:sz w:val="21"/>
          <w:szCs w:val="21"/>
          <w:vertAlign w:val="baseline"/>
        </w:rPr>
        <w:t>，不随甲方还款而恢复，甲方可在额度范围内多次消费或委托乙方多次支付给指定商户，但累计不超过甲方</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可用分期额度。</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w:t>
      </w:r>
      <w:r>
        <w:rPr>
          <w:rFonts w:ascii="黑体" w:eastAsia="黑体" w:hAnsi="黑体" w:hint="eastAsia"/>
          <w:b/>
          <w:bCs/>
          <w:color w:val="auto"/>
          <w:sz w:val="21"/>
          <w:szCs w:val="21"/>
          <w:vertAlign w:val="baseline"/>
          <w:lang w:val="en-US" w:eastAsia="zh-CN"/>
        </w:rPr>
        <w:t>5</w:t>
      </w:r>
      <w:r>
        <w:rPr>
          <w:rFonts w:ascii="黑体" w:eastAsia="黑体" w:hAnsi="黑体" w:hint="eastAsia"/>
          <w:b/>
          <w:bCs/>
          <w:color w:val="auto"/>
          <w:sz w:val="21"/>
          <w:szCs w:val="21"/>
          <w:vertAlign w:val="baseline"/>
        </w:rPr>
        <w:t>甲方结清</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欠款后，方可再次申请新</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。不论甲方原</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是否在有效期内，乙方均向甲方配发新</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，卡号将变更。甲方的</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额度结清前，不可再次申请新</w:t>
      </w:r>
      <w:r>
        <w:rPr>
          <w:rFonts w:ascii="黑体" w:eastAsia="黑体" w:hAnsi="黑体" w:hint="eastAsia"/>
          <w:b/>
          <w:bCs/>
          <w:color w:val="auto"/>
          <w:sz w:val="21"/>
          <w:szCs w:val="21"/>
          <w:vertAlign w:val="baseline"/>
          <w:lang w:eastAsia="zh-CN"/>
        </w:rPr>
        <w:t>装修专用卡</w:t>
      </w:r>
      <w:r>
        <w:rPr>
          <w:rFonts w:ascii="黑体" w:eastAsia="黑体" w:hAnsi="黑体" w:hint="eastAsia"/>
          <w:b/>
          <w:bCs/>
          <w:color w:val="auto"/>
          <w:sz w:val="21"/>
          <w:szCs w:val="21"/>
          <w:vertAlign w:val="baseline"/>
        </w:rPr>
        <w:t>。</w:t>
      </w:r>
    </w:p>
    <w:p>
      <w:pPr>
        <w:spacing w:before="0" w:beforeAutospacing="0" w:after="0" w:afterAutospacing="0" w:line="360" w:lineRule="exact"/>
        <w:ind w:left="0" w:firstLine="422"/>
        <w:rPr>
          <w:rFonts w:ascii="黑体" w:eastAsia="黑体" w:cs="黑体" w:hAnsi="黑体"/>
          <w:b/>
          <w:bCs/>
          <w:color w:val="auto"/>
          <w:sz w:val="21"/>
          <w:szCs w:val="21"/>
          <w:vertAlign w:val="baseline"/>
          <w:lang w:bidi="ar-SA"/>
        </w:rPr>
      </w:pPr>
      <w:r>
        <w:rPr>
          <w:rFonts w:ascii="黑体" w:eastAsia="黑体" w:hAnsi="黑体" w:hint="eastAsia"/>
          <w:b/>
          <w:bCs/>
          <w:color w:val="auto"/>
          <w:sz w:val="21"/>
          <w:szCs w:val="21"/>
          <w:vertAlign w:val="baseline"/>
          <w:lang w:val="en-US" w:eastAsia="zh-CN"/>
        </w:rPr>
        <w:t>5.6</w:t>
      </w:r>
      <w:r>
        <w:rPr>
          <w:rFonts w:ascii="黑体" w:eastAsia="黑体" w:cs="黑体" w:hAnsi="黑体" w:hint="eastAsia"/>
          <w:b/>
          <w:bCs/>
          <w:color w:val="auto"/>
          <w:sz w:val="21"/>
          <w:szCs w:val="21"/>
          <w:vertAlign w:val="baseline"/>
          <w:lang w:bidi="ar-SA"/>
        </w:rPr>
        <w:t>甲方需在乙方规定的额度有效期内使用额度，如额度失效，甲方可在乙方指定渠道（如邮储信用卡APP、邮储银行APP）再次申请，乙方将根据甲方的最新资信状况及用卡表现评定恢复结果，包括拒绝恢复、原额度恢复或调整额度恢复。</w:t>
      </w:r>
    </w:p>
    <w:p>
      <w:pPr>
        <w:spacing w:before="0" w:beforeAutospacing="0" w:after="0" w:afterAutospacing="0" w:line="360" w:lineRule="exact"/>
        <w:ind w:left="0" w:firstLine="422"/>
        <w:rPr>
          <w:rFonts w:ascii="黑体" w:eastAsia="黑体" w:cs="黑体" w:hAnsi="黑体" w:hint="eastAsia"/>
          <w:b/>
          <w:bCs/>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六</w:t>
      </w:r>
      <w:r>
        <w:rPr>
          <w:rFonts w:ascii="宋体" w:eastAsia="宋体" w:cs="宋体" w:hAnsi="宋体" w:hint="eastAsia"/>
          <w:color w:val="auto"/>
          <w:sz w:val="21"/>
          <w:szCs w:val="21"/>
          <w:vertAlign w:val="baseline"/>
          <w:lang w:bidi="ar-SA"/>
        </w:rPr>
        <w:t>条 款项规则与记账</w:t>
      </w:r>
    </w:p>
    <w:p>
      <w:pPr>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bidi="ar-SA"/>
        </w:rPr>
      </w:pPr>
      <w:r>
        <w:rPr>
          <w:rFonts w:ascii="宋体" w:eastAsia="宋体" w:cs="宋体" w:hAnsi="宋体" w:hint="eastAsia"/>
          <w:color w:val="auto"/>
          <w:sz w:val="21"/>
          <w:szCs w:val="21"/>
          <w:vertAlign w:val="baseline"/>
          <w:lang w:val="en-US" w:eastAsia="zh-CN" w:bidi="ar-SA"/>
        </w:rPr>
        <w:t>6</w:t>
      </w:r>
      <w:r>
        <w:rPr>
          <w:rFonts w:ascii="宋体" w:eastAsia="宋体" w:cs="宋体" w:hAnsi="宋体" w:hint="eastAsia"/>
          <w:color w:val="auto"/>
          <w:sz w:val="21"/>
          <w:szCs w:val="21"/>
          <w:vertAlign w:val="baseline"/>
          <w:lang w:bidi="ar-SA"/>
        </w:rPr>
        <w:t>.1</w:t>
      </w:r>
      <w:r>
        <w:rPr>
          <w:rFonts w:ascii="宋体" w:eastAsia="宋体" w:cs="宋体" w:hAnsi="宋体" w:hint="eastAsia"/>
          <w:color w:val="auto"/>
          <w:sz w:val="21"/>
          <w:szCs w:val="21"/>
          <w:vertAlign w:val="baseline"/>
          <w:lang w:eastAsia="zh-CN" w:bidi="ar-SA"/>
        </w:rPr>
        <w:t>装修</w:t>
      </w:r>
      <w:r>
        <w:rPr>
          <w:rFonts w:ascii="宋体" w:eastAsia="宋体" w:cs="宋体" w:hAnsi="宋体" w:hint="eastAsia"/>
          <w:color w:val="auto"/>
          <w:sz w:val="21"/>
          <w:szCs w:val="21"/>
          <w:vertAlign w:val="baseline"/>
          <w:lang w:bidi="ar-SA"/>
        </w:rPr>
        <w:t>分期额度仅限在指定类型商户消费或委托乙方支付给指定商户。</w:t>
      </w:r>
    </w:p>
    <w:p>
      <w:pPr>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黑体" w:eastAsia="黑体" w:hAnsi="黑体" w:hint="eastAsia"/>
          <w:b/>
          <w:bCs/>
          <w:color w:val="auto"/>
          <w:sz w:val="21"/>
          <w:szCs w:val="21"/>
          <w:vertAlign w:val="baseline"/>
          <w:lang w:val="en-US" w:eastAsia="zh-CN"/>
        </w:rPr>
        <w:t>6</w:t>
      </w:r>
      <w:r>
        <w:rPr>
          <w:rFonts w:ascii="黑体" w:eastAsia="黑体" w:hAnsi="黑体" w:hint="eastAsia"/>
          <w:b/>
          <w:bCs/>
          <w:color w:val="auto"/>
          <w:sz w:val="21"/>
          <w:szCs w:val="21"/>
          <w:vertAlign w:val="baseline"/>
        </w:rPr>
        <w:t>.2甲方成功办理</w:t>
      </w:r>
      <w:r>
        <w:rPr>
          <w:rFonts w:ascii="黑体" w:eastAsia="黑体" w:hAnsi="黑体" w:hint="eastAsia"/>
          <w:b/>
          <w:bCs/>
          <w:color w:val="auto"/>
          <w:sz w:val="21"/>
          <w:szCs w:val="21"/>
          <w:vertAlign w:val="baseline"/>
          <w:lang w:eastAsia="zh-CN"/>
        </w:rPr>
        <w:t>装修</w:t>
      </w:r>
      <w:r>
        <w:rPr>
          <w:rFonts w:ascii="黑体" w:eastAsia="黑体" w:hAnsi="黑体" w:hint="eastAsia"/>
          <w:b/>
          <w:bCs/>
          <w:color w:val="auto"/>
          <w:sz w:val="21"/>
          <w:szCs w:val="21"/>
          <w:vertAlign w:val="baseline"/>
        </w:rPr>
        <w:t>分期后，将从第一个账单日开始摊销分期本金和分期利息。每期应还本金金额依甲方选择的分期期数，将本金总额按期均摊，在每期账单日记入甲方账单。每月应还利息等于分期本金总额乘以对应期数的分期利率，在每期账单日记入甲方账单。</w:t>
      </w:r>
    </w:p>
    <w:p>
      <w:pPr>
        <w:pStyle w:val="24"/>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黑体" w:eastAsia="黑体" w:cs="黑体" w:hAnsi="黑体" w:hint="eastAsia"/>
          <w:b/>
          <w:bCs/>
          <w:color w:val="auto"/>
          <w:kern w:val="2"/>
          <w:sz w:val="21"/>
          <w:szCs w:val="21"/>
          <w:vertAlign w:val="baseline"/>
          <w:lang w:val="en-US" w:eastAsia="zh-CN" w:bidi="ar-SA"/>
        </w:rPr>
        <w:t>6</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3</w:t>
      </w:r>
      <w:r>
        <w:rPr>
          <w:rFonts w:ascii="黑体" w:eastAsia="黑体" w:cs="黑体" w:hAnsi="黑体" w:hint="eastAsia"/>
          <w:b/>
          <w:bCs/>
          <w:color w:val="auto"/>
          <w:kern w:val="2"/>
          <w:sz w:val="21"/>
          <w:szCs w:val="21"/>
          <w:vertAlign w:val="baseline"/>
          <w:lang w:bidi="ar-SA"/>
        </w:rPr>
        <w:t>每期“应还本金金额”和“应还分期利息”的计算精确到分位，对于每期“应还本金金额”不能在分位取得整除的，采用四舍五入的方式进行金额拆分，差额在最后一期进行调整。</w:t>
      </w:r>
    </w:p>
    <w:p>
      <w:pPr>
        <w:spacing w:before="0" w:beforeAutospacing="0" w:after="0" w:afterAutospacing="0" w:line="360" w:lineRule="exact"/>
        <w:ind w:left="0" w:firstLineChars="200" w:firstLine="420"/>
        <w:rPr>
          <w:rFonts w:ascii="宋体" w:eastAsia="宋体" w:cs="宋体" w:hAnsi="宋体"/>
          <w:color w:val="auto"/>
          <w:sz w:val="21"/>
          <w:szCs w:val="21"/>
          <w:vertAlign w:val="baseline"/>
          <w:lang w:bidi="ar-SA"/>
        </w:rPr>
      </w:pPr>
      <w:r>
        <w:rPr>
          <w:rFonts w:ascii="宋体" w:eastAsia="宋体" w:cs="宋体" w:hAnsi="宋体" w:hint="eastAsia"/>
          <w:color w:val="auto"/>
          <w:sz w:val="21"/>
          <w:szCs w:val="21"/>
          <w:vertAlign w:val="baseline"/>
          <w:lang w:val="en-US" w:eastAsia="zh-CN" w:bidi="ar-SA"/>
        </w:rPr>
        <w:t>6</w:t>
      </w:r>
      <w:r>
        <w:rPr>
          <w:rFonts w:ascii="宋体" w:eastAsia="宋体" w:cs="宋体" w:hAnsi="宋体" w:hint="eastAsia"/>
          <w:color w:val="auto"/>
          <w:sz w:val="21"/>
          <w:szCs w:val="21"/>
          <w:vertAlign w:val="baseline"/>
          <w:lang w:bidi="ar-SA"/>
        </w:rPr>
        <w:t>.</w:t>
      </w:r>
      <w:r>
        <w:rPr>
          <w:rFonts w:ascii="宋体" w:eastAsia="宋体" w:cs="宋体" w:hAnsi="宋体" w:hint="eastAsia"/>
          <w:color w:val="auto"/>
          <w:sz w:val="21"/>
          <w:szCs w:val="21"/>
          <w:vertAlign w:val="baseline"/>
          <w:lang w:val="en-US" w:eastAsia="zh-CN" w:bidi="ar-SA"/>
        </w:rPr>
        <w:t>4</w:t>
      </w:r>
      <w:r>
        <w:rPr>
          <w:rFonts w:ascii="宋体" w:eastAsia="宋体" w:cs="宋体" w:hAnsi="宋体" w:hint="eastAsia"/>
          <w:color w:val="auto"/>
          <w:sz w:val="21"/>
          <w:szCs w:val="21"/>
          <w:vertAlign w:val="baseline"/>
          <w:lang w:bidi="ar-SA"/>
        </w:rPr>
        <w:t>每期“应还本金金额”和“应还分期利息”视同该期账单日的一笔普通消费和普通利息，计入甲方每月账单应还款总额，同时全额计入最低还款额</w:t>
      </w:r>
      <w:r>
        <w:rPr>
          <w:rFonts w:ascii="宋体" w:eastAsia="宋体" w:cs="宋体" w:hAnsi="宋体" w:hint="eastAsia"/>
          <w:color w:val="auto"/>
          <w:sz w:val="21"/>
          <w:szCs w:val="21"/>
          <w:vertAlign w:val="baseline"/>
          <w:lang w:eastAsia="zh-CN" w:bidi="ar-SA"/>
        </w:rPr>
        <w:t>，并</w:t>
      </w:r>
      <w:r>
        <w:rPr>
          <w:rFonts w:ascii="宋体" w:eastAsia="宋体" w:cs="宋体" w:hAnsi="宋体" w:hint="eastAsia"/>
          <w:color w:val="auto"/>
          <w:sz w:val="21"/>
          <w:szCs w:val="21"/>
          <w:vertAlign w:val="baseline"/>
          <w:lang w:val="en-US" w:eastAsia="zh-CN" w:bidi="ar-SA"/>
        </w:rPr>
        <w:t>占用客户级的普通信用额度（如有）</w:t>
      </w:r>
      <w:r>
        <w:rPr>
          <w:rFonts w:ascii="宋体" w:eastAsia="宋体" w:cs="宋体" w:hAnsi="宋体" w:hint="eastAsia"/>
          <w:color w:val="auto"/>
          <w:sz w:val="21"/>
          <w:szCs w:val="21"/>
          <w:vertAlign w:val="baseline"/>
          <w:lang w:bidi="ar-SA"/>
        </w:rPr>
        <w:t>。</w:t>
      </w:r>
    </w:p>
    <w:p>
      <w:pPr>
        <w:spacing w:before="0" w:beforeAutospacing="0" w:after="0" w:afterAutospacing="0" w:line="360" w:lineRule="exact"/>
        <w:ind w:left="0" w:firstLineChars="200" w:firstLine="420"/>
        <w:rPr>
          <w:rFonts w:ascii="宋体" w:eastAsia="宋体" w:cs="宋体" w:hAnsi="宋体" w:hint="eastAsia"/>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七</w:t>
      </w:r>
      <w:r>
        <w:rPr>
          <w:rFonts w:ascii="宋体" w:eastAsia="宋体" w:cs="宋体" w:hAnsi="宋体" w:hint="eastAsia"/>
          <w:color w:val="auto"/>
          <w:sz w:val="21"/>
          <w:szCs w:val="21"/>
          <w:vertAlign w:val="baseline"/>
          <w:lang w:bidi="ar-SA"/>
        </w:rPr>
        <w:t>条 还款说明</w:t>
      </w:r>
    </w:p>
    <w:p>
      <w:pPr>
        <w:pStyle w:val="24"/>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宋体" w:eastAsia="宋体" w:hAnsi="宋体" w:hint="eastAsia"/>
          <w:color w:val="auto"/>
          <w:sz w:val="21"/>
          <w:szCs w:val="21"/>
          <w:vertAlign w:val="baseline"/>
          <w:lang w:val="en-US" w:eastAsia="zh-CN"/>
        </w:rPr>
        <w:t>7</w:t>
      </w:r>
      <w:r>
        <w:rPr>
          <w:rFonts w:ascii="宋体" w:eastAsia="宋体" w:hAnsi="宋体" w:hint="eastAsia"/>
          <w:color w:val="auto"/>
          <w:sz w:val="21"/>
          <w:szCs w:val="21"/>
          <w:vertAlign w:val="baseline"/>
        </w:rPr>
        <w:t>.1甲方可在办理</w:t>
      </w:r>
      <w:r>
        <w:rPr>
          <w:rFonts w:ascii="宋体" w:eastAsia="宋体" w:hAnsi="宋体" w:hint="eastAsia"/>
          <w:color w:val="auto"/>
          <w:sz w:val="21"/>
          <w:szCs w:val="21"/>
          <w:vertAlign w:val="baseline"/>
          <w:lang w:eastAsia="zh-CN"/>
        </w:rPr>
        <w:t>装修</w:t>
      </w:r>
      <w:r>
        <w:rPr>
          <w:rFonts w:ascii="宋体" w:eastAsia="宋体" w:hAnsi="宋体" w:hint="eastAsia"/>
          <w:color w:val="auto"/>
          <w:sz w:val="21"/>
          <w:szCs w:val="21"/>
          <w:vertAlign w:val="baseline"/>
        </w:rPr>
        <w:t>分期次日</w:t>
      </w:r>
      <w:r>
        <w:rPr>
          <w:rFonts w:ascii="黑体" w:eastAsia="黑体" w:cs="黑体" w:hAnsi="黑体" w:hint="eastAsia"/>
          <w:b/>
          <w:bCs/>
          <w:color w:val="auto"/>
          <w:kern w:val="2"/>
          <w:sz w:val="21"/>
          <w:szCs w:val="21"/>
          <w:vertAlign w:val="baseline"/>
          <w:lang w:bidi="ar-SA"/>
        </w:rPr>
        <w:t>通过</w:t>
      </w:r>
      <w:r>
        <w:rPr>
          <w:rFonts w:ascii="黑体" w:eastAsia="黑体" w:cs="黑体" w:hAnsi="黑体" w:hint="eastAsia"/>
          <w:b/>
          <w:bCs/>
          <w:color w:val="auto"/>
          <w:kern w:val="2"/>
          <w:sz w:val="21"/>
          <w:szCs w:val="21"/>
          <w:vertAlign w:val="baseline"/>
          <w:lang w:val="en-US" w:eastAsia="zh-CN" w:bidi="ar-SA"/>
        </w:rPr>
        <w:t>乙方</w:t>
      </w:r>
      <w:r>
        <w:rPr>
          <w:rFonts w:ascii="黑体" w:eastAsia="黑体" w:cs="黑体" w:hAnsi="黑体" w:hint="eastAsia"/>
          <w:b/>
          <w:bCs/>
          <w:color w:val="auto"/>
          <w:kern w:val="2"/>
          <w:sz w:val="21"/>
          <w:szCs w:val="21"/>
          <w:vertAlign w:val="baseline"/>
          <w:lang w:bidi="ar-SA"/>
        </w:rPr>
        <w:t>信用卡客服等渠道</w:t>
      </w:r>
      <w:r>
        <w:rPr>
          <w:rFonts w:ascii="宋体" w:eastAsia="宋体" w:hAnsi="宋体" w:hint="eastAsia"/>
          <w:color w:val="auto"/>
          <w:sz w:val="21"/>
          <w:szCs w:val="21"/>
          <w:vertAlign w:val="baseline"/>
        </w:rPr>
        <w:t>提出分期提前还款申请。</w:t>
      </w:r>
      <w:r>
        <w:rPr>
          <w:rFonts w:ascii="黑体" w:eastAsia="黑体" w:cs="黑体" w:hAnsi="黑体" w:hint="eastAsia"/>
          <w:b/>
          <w:bCs/>
          <w:color w:val="auto"/>
          <w:sz w:val="21"/>
          <w:szCs w:val="21"/>
          <w:vertAlign w:val="baseline"/>
          <w:lang w:bidi="ar-SA"/>
        </w:rPr>
        <w:t>提前还款</w:t>
      </w:r>
      <w:r>
        <w:rPr>
          <w:rFonts w:ascii="黑体" w:eastAsia="黑体" w:cs="黑体" w:hAnsi="黑体" w:hint="eastAsia"/>
          <w:b/>
          <w:bCs/>
          <w:color w:val="auto"/>
          <w:sz w:val="21"/>
          <w:szCs w:val="21"/>
          <w:vertAlign w:val="baseline"/>
          <w:lang w:eastAsia="zh-CN" w:bidi="ar-SA"/>
        </w:rPr>
        <w:t>后已收取分期利息不予退还，提前还款违约金收取标准为分期本金总额乘以单月分期利率，</w:t>
      </w:r>
      <w:r>
        <w:rPr>
          <w:rFonts w:ascii="黑体" w:eastAsia="黑体" w:cs="黑体" w:hAnsi="黑体" w:hint="eastAsia"/>
          <w:b/>
          <w:bCs/>
          <w:color w:val="auto"/>
          <w:kern w:val="2"/>
          <w:sz w:val="21"/>
          <w:szCs w:val="21"/>
          <w:vertAlign w:val="baseline"/>
          <w:lang w:bidi="ar-SA"/>
        </w:rPr>
        <w:t>甲方剩余的分期付款未摊本金和</w:t>
      </w:r>
      <w:r>
        <w:rPr>
          <w:rFonts w:ascii="黑体" w:eastAsia="黑体" w:cs="黑体" w:hAnsi="黑体" w:hint="eastAsia"/>
          <w:b/>
          <w:bCs/>
          <w:color w:val="auto"/>
          <w:kern w:val="2"/>
          <w:sz w:val="21"/>
          <w:szCs w:val="21"/>
          <w:vertAlign w:val="baseline"/>
          <w:lang w:eastAsia="zh-CN" w:bidi="ar-SA"/>
        </w:rPr>
        <w:t>提前还款违约金</w:t>
      </w:r>
      <w:r>
        <w:rPr>
          <w:rFonts w:ascii="黑体" w:eastAsia="黑体" w:cs="黑体" w:hAnsi="黑体" w:hint="eastAsia"/>
          <w:b/>
          <w:bCs/>
          <w:color w:val="auto"/>
          <w:kern w:val="2"/>
          <w:sz w:val="21"/>
          <w:szCs w:val="21"/>
          <w:vertAlign w:val="baseline"/>
          <w:lang w:bidi="ar-SA"/>
        </w:rPr>
        <w:t>在申请提前还款日终全部计入甲方的本期账单，并全额计入最低还款额，在后续账单日不再按期进行分摊，</w:t>
      </w:r>
      <w:r>
        <w:rPr>
          <w:rFonts w:ascii="黑体" w:eastAsia="黑体" w:cs="黑体" w:hAnsi="黑体" w:hint="eastAsia"/>
          <w:b/>
          <w:bCs/>
          <w:color w:val="auto"/>
          <w:kern w:val="2"/>
          <w:sz w:val="21"/>
          <w:szCs w:val="21"/>
          <w:vertAlign w:val="baseline"/>
          <w:lang w:eastAsia="zh-CN" w:bidi="ar-SA"/>
        </w:rPr>
        <w:t>且</w:t>
      </w:r>
      <w:r>
        <w:rPr>
          <w:rFonts w:ascii="黑体" w:eastAsia="黑体" w:cs="黑体" w:hAnsi="黑体" w:hint="eastAsia"/>
          <w:b/>
          <w:bCs/>
          <w:color w:val="auto"/>
          <w:kern w:val="2"/>
          <w:sz w:val="21"/>
          <w:szCs w:val="21"/>
          <w:vertAlign w:val="baseline"/>
          <w:lang w:bidi="ar-SA"/>
        </w:rPr>
        <w:t>提前还款无法撤销。</w:t>
      </w:r>
    </w:p>
    <w:p>
      <w:pPr>
        <w:pStyle w:val="24"/>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黑体" w:eastAsia="黑体" w:cs="黑体" w:hAnsi="黑体" w:hint="eastAsia"/>
          <w:b/>
          <w:bCs/>
          <w:color w:val="auto"/>
          <w:kern w:val="2"/>
          <w:sz w:val="21"/>
          <w:szCs w:val="21"/>
          <w:vertAlign w:val="baseline"/>
          <w:lang w:val="en-US" w:eastAsia="zh-CN" w:bidi="ar-SA"/>
        </w:rPr>
        <w:t>7</w:t>
      </w:r>
      <w:r>
        <w:rPr>
          <w:rFonts w:ascii="黑体" w:eastAsia="黑体" w:cs="黑体" w:hAnsi="黑体" w:hint="eastAsia"/>
          <w:b/>
          <w:bCs/>
          <w:color w:val="auto"/>
          <w:kern w:val="2"/>
          <w:sz w:val="21"/>
          <w:szCs w:val="21"/>
          <w:vertAlign w:val="baseline"/>
          <w:lang w:bidi="ar-SA"/>
        </w:rPr>
        <w:t>.2甲方</w:t>
      </w:r>
      <w:r>
        <w:rPr>
          <w:rFonts w:ascii="黑体" w:eastAsia="黑体" w:cs="黑体" w:hAnsi="黑体" w:hint="eastAsia"/>
          <w:b/>
          <w:bCs/>
          <w:color w:val="auto"/>
          <w:kern w:val="2"/>
          <w:sz w:val="21"/>
          <w:szCs w:val="21"/>
          <w:vertAlign w:val="baseline"/>
          <w:lang w:eastAsia="zh-CN" w:bidi="ar-SA"/>
        </w:rPr>
        <w:t>装修</w:t>
      </w:r>
      <w:r>
        <w:rPr>
          <w:rFonts w:ascii="黑体" w:eastAsia="黑体" w:cs="黑体" w:hAnsi="黑体" w:hint="eastAsia"/>
          <w:b/>
          <w:bCs/>
          <w:color w:val="auto"/>
          <w:kern w:val="2"/>
          <w:sz w:val="21"/>
          <w:szCs w:val="21"/>
          <w:vertAlign w:val="baseline"/>
          <w:lang w:bidi="ar-SA"/>
        </w:rPr>
        <w:t>分期账户存在的溢缴款不会自动提前清偿分期付款待摊“应还本金金额”和“应还分期利息”。</w:t>
      </w:r>
    </w:p>
    <w:p>
      <w:pPr>
        <w:pStyle w:val="24"/>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bookmarkStart w:id="3" w:name="wordCheck_2O3vbbYtUnH_2O3veRP3YjT"/>
      <w:bookmarkStart w:id="4" w:name="wordCheck_2NLh1V64U76_2NLh6497kHP"/>
      <w:r>
        <w:rPr>
          <w:rFonts w:ascii="黑体" w:eastAsia="黑体" w:cs="黑体" w:hAnsi="黑体" w:hint="eastAsia"/>
          <w:b/>
          <w:bCs/>
          <w:color w:val="auto"/>
          <w:kern w:val="2"/>
          <w:sz w:val="21"/>
          <w:szCs w:val="21"/>
          <w:vertAlign w:val="baseline"/>
          <w:lang w:val="en-US" w:eastAsia="zh-CN" w:bidi="ar-SA"/>
        </w:rPr>
        <w:t>7</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3</w:t>
      </w:r>
      <w:r>
        <w:rPr>
          <w:rFonts w:ascii="黑体" w:eastAsia="黑体" w:cs="黑体" w:hAnsi="黑体" w:hint="eastAsia"/>
          <w:b/>
          <w:bCs/>
          <w:color w:val="auto"/>
          <w:kern w:val="2"/>
          <w:sz w:val="21"/>
          <w:szCs w:val="21"/>
          <w:vertAlign w:val="baseline"/>
          <w:lang w:bidi="ar-SA"/>
        </w:rPr>
        <w:t>若任一期应还款金额有逾期违约情形产生，按照双方已签署的《中国邮政储蓄银行信用卡（个人卡）章程》及《中国邮政储蓄银行信用卡（个人卡）领用合约》</w:t>
      </w:r>
      <w:r>
        <w:rPr>
          <w:rStyle w:val="23"/>
          <w:rFonts w:ascii="黑体" w:eastAsia="黑体" w:cs="黑体" w:hAnsi="黑体" w:hint="eastAsia"/>
          <w:bCs/>
          <w:sz w:val="21"/>
          <w:szCs w:val="21"/>
          <w:vertAlign w:val="baseline"/>
          <w:lang w:eastAsia="zh-CN" w:bidi="ar-SA"/>
        </w:rPr>
        <w:t>（可通过乙方官方网站www.psbc.com查询）</w:t>
      </w:r>
      <w:r>
        <w:rPr>
          <w:rFonts w:ascii="黑体" w:eastAsia="黑体" w:cs="黑体" w:hAnsi="黑体" w:hint="eastAsia"/>
          <w:b/>
          <w:bCs/>
          <w:color w:val="auto"/>
          <w:kern w:val="2"/>
          <w:sz w:val="21"/>
          <w:szCs w:val="21"/>
          <w:vertAlign w:val="baseline"/>
          <w:lang w:bidi="ar-SA"/>
        </w:rPr>
        <w:t>计收</w:t>
      </w:r>
      <w:r>
        <w:rPr>
          <w:rFonts w:ascii="黑体" w:eastAsia="黑体" w:cs="黑体" w:hAnsi="黑体" w:hint="eastAsia"/>
          <w:b/>
          <w:bCs/>
          <w:color w:val="auto"/>
          <w:kern w:val="2"/>
          <w:sz w:val="21"/>
          <w:szCs w:val="21"/>
          <w:vertAlign w:val="baseline"/>
          <w:lang w:eastAsia="zh-CN" w:bidi="ar-SA"/>
        </w:rPr>
        <w:t>透支</w:t>
      </w:r>
      <w:r>
        <w:rPr>
          <w:rFonts w:ascii="黑体" w:eastAsia="黑体" w:cs="黑体" w:hAnsi="黑体" w:hint="eastAsia"/>
          <w:b/>
          <w:bCs/>
          <w:color w:val="auto"/>
          <w:kern w:val="2"/>
          <w:sz w:val="21"/>
          <w:szCs w:val="21"/>
          <w:vertAlign w:val="baseline"/>
          <w:lang w:bidi="ar-SA"/>
        </w:rPr>
        <w:t>利息及违约金，每期“应还本金金额”视同该期账单日的一笔普通消费从该期账单日起计收</w:t>
      </w:r>
      <w:r>
        <w:rPr>
          <w:rFonts w:ascii="黑体" w:eastAsia="黑体" w:cs="黑体" w:hAnsi="黑体" w:hint="eastAsia"/>
          <w:b/>
          <w:bCs/>
          <w:color w:val="auto"/>
          <w:kern w:val="2"/>
          <w:sz w:val="21"/>
          <w:szCs w:val="21"/>
          <w:vertAlign w:val="baseline"/>
          <w:lang w:eastAsia="zh-CN" w:bidi="ar-SA"/>
        </w:rPr>
        <w:t>透支</w:t>
      </w:r>
      <w:r>
        <w:rPr>
          <w:rFonts w:ascii="黑体" w:eastAsia="黑体" w:cs="黑体" w:hAnsi="黑体" w:hint="eastAsia"/>
          <w:b/>
          <w:bCs/>
          <w:color w:val="auto"/>
          <w:kern w:val="2"/>
          <w:sz w:val="21"/>
          <w:szCs w:val="21"/>
          <w:vertAlign w:val="baseline"/>
          <w:lang w:bidi="ar-SA"/>
        </w:rPr>
        <w:t>利息。</w:t>
      </w:r>
      <w:bookmarkEnd w:id="3"/>
      <w:bookmarkEnd w:id="4"/>
    </w:p>
    <w:p>
      <w:pPr>
        <w:pStyle w:val="24"/>
        <w:spacing w:before="0" w:beforeAutospacing="0" w:after="0" w:afterAutospacing="0" w:line="360" w:lineRule="exact"/>
        <w:ind w:left="0" w:firstLineChars="200" w:firstLine="420"/>
        <w:rPr>
          <w:rFonts w:ascii="黑体" w:eastAsia="黑体" w:cs="黑体" w:hAnsi="黑体"/>
          <w:b/>
          <w:bCs/>
          <w:color w:val="auto"/>
          <w:kern w:val="2"/>
          <w:sz w:val="21"/>
          <w:szCs w:val="21"/>
          <w:vertAlign w:val="baseline"/>
          <w:lang w:val="en-US" w:eastAsia="zh-CN" w:bidi="ar-SA"/>
        </w:rPr>
      </w:pPr>
      <w:r>
        <w:rPr>
          <w:rFonts w:ascii="黑体" w:eastAsia="黑体" w:cs="黑体" w:hAnsi="黑体" w:hint="eastAsia"/>
          <w:b/>
          <w:bCs/>
          <w:color w:val="auto"/>
          <w:kern w:val="2"/>
          <w:sz w:val="21"/>
          <w:szCs w:val="21"/>
          <w:vertAlign w:val="baseline"/>
          <w:lang w:val="en-US" w:eastAsia="zh-CN" w:bidi="ar-SA"/>
        </w:rPr>
        <w:t>7</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4乙方有权根据甲方的用卡情况和资信状况的变化，对持卡人的装修分期额度做出调整、限制甲方用卡、或要求甲方提前一次性偿还装修分期全部剩余欠款，包括但不限于本金、透支利息、违约金等全部应还款项。</w:t>
      </w:r>
    </w:p>
    <w:p>
      <w:pPr>
        <w:pStyle w:val="24"/>
        <w:spacing w:before="0" w:beforeAutospacing="0" w:after="0" w:afterAutospacing="0" w:line="360" w:lineRule="exact"/>
        <w:ind w:left="0" w:firstLineChars="200" w:firstLine="420"/>
        <w:rPr>
          <w:rFonts w:ascii="黑体" w:eastAsia="黑体" w:cs="黑体" w:hAnsi="黑体" w:hint="eastAsia"/>
          <w:b/>
          <w:bCs/>
          <w:kern w:val="2"/>
          <w:sz w:val="21"/>
          <w:szCs w:val="21"/>
        </w:rPr>
      </w:pPr>
      <w:r>
        <w:rPr>
          <w:rFonts w:ascii="宋体" w:eastAsia="宋体" w:cs="宋体" w:hAnsi="宋体" w:hint="eastAsia"/>
          <w:color w:val="auto"/>
          <w:sz w:val="21"/>
          <w:szCs w:val="21"/>
          <w:vertAlign w:val="baseline"/>
          <w:lang w:bidi="ar-SA"/>
        </w:rPr>
        <w:t>第</w:t>
      </w:r>
      <w:r>
        <w:rPr>
          <w:rFonts w:ascii="宋体" w:eastAsia="宋体" w:cs="宋体" w:hAnsi="宋体" w:hint="eastAsia"/>
          <w:color w:val="auto"/>
          <w:sz w:val="21"/>
          <w:szCs w:val="21"/>
          <w:vertAlign w:val="baseline"/>
          <w:lang w:eastAsia="zh-CN" w:bidi="ar-SA"/>
        </w:rPr>
        <w:t>八</w:t>
      </w:r>
      <w:r>
        <w:rPr>
          <w:rFonts w:ascii="宋体" w:eastAsia="宋体" w:cs="宋体" w:hAnsi="宋体" w:hint="eastAsia"/>
          <w:color w:val="auto"/>
          <w:sz w:val="21"/>
          <w:szCs w:val="21"/>
          <w:vertAlign w:val="baseline"/>
          <w:lang w:bidi="ar-SA"/>
        </w:rPr>
        <w:t>条 其他</w:t>
      </w:r>
    </w:p>
    <w:p>
      <w:pPr>
        <w:pStyle w:val="24"/>
        <w:spacing w:before="0" w:beforeAutospacing="0" w:after="0" w:afterAutospacing="0" w:line="360" w:lineRule="exact"/>
        <w:ind w:left="0" w:firstLineChars="200" w:firstLine="420"/>
        <w:rPr>
          <w:rFonts w:ascii="黑体" w:eastAsia="黑体" w:cs="黑体" w:hAnsi="黑体" w:hint="eastAsia"/>
          <w:b/>
          <w:bCs/>
          <w:color w:val="000000"/>
          <w:sz w:val="21"/>
          <w:szCs w:val="21"/>
          <w:vertAlign w:val="baseline"/>
          <w:lang w:bidi="ar-SA"/>
        </w:rPr>
      </w:pPr>
      <w:r>
        <w:rPr>
          <w:rFonts w:ascii="黑体" w:eastAsia="黑体" w:cs="黑体" w:hAnsi="黑体" w:hint="eastAsia"/>
          <w:b/>
          <w:bCs/>
          <w:color w:val="000000"/>
          <w:sz w:val="21"/>
          <w:szCs w:val="21"/>
          <w:vertAlign w:val="baseline"/>
          <w:lang w:val="en-US" w:eastAsia="zh-CN" w:bidi="ar-SA"/>
        </w:rPr>
        <w:t>8</w:t>
      </w:r>
      <w:r>
        <w:rPr>
          <w:rFonts w:ascii="黑体" w:eastAsia="黑体" w:cs="黑体" w:hAnsi="黑体" w:hint="eastAsia"/>
          <w:b/>
          <w:bCs/>
          <w:color w:val="000000"/>
          <w:sz w:val="21"/>
          <w:szCs w:val="21"/>
          <w:vertAlign w:val="baseline"/>
          <w:lang w:bidi="ar-SA"/>
        </w:rPr>
        <w:t>.1</w:t>
      </w:r>
      <w:r>
        <w:rPr>
          <w:rFonts w:ascii="黑体" w:eastAsia="黑体" w:cs="黑体" w:hAnsi="黑体" w:hint="eastAsia"/>
          <w:b/>
          <w:bCs/>
          <w:color w:val="000000"/>
          <w:sz w:val="21"/>
          <w:szCs w:val="21"/>
          <w:vertAlign w:val="baseline"/>
          <w:lang w:eastAsia="zh-CN" w:bidi="ar-SA"/>
        </w:rPr>
        <w:t>装修专用卡</w:t>
      </w:r>
      <w:r>
        <w:rPr>
          <w:rFonts w:ascii="黑体" w:eastAsia="黑体" w:cs="黑体" w:hAnsi="黑体" w:hint="eastAsia"/>
          <w:b/>
          <w:bCs/>
          <w:color w:val="000000"/>
          <w:sz w:val="21"/>
          <w:szCs w:val="21"/>
          <w:vertAlign w:val="baseline"/>
          <w:lang w:bidi="ar-SA"/>
        </w:rPr>
        <w:t>办理的分期本金和分期利息均不计积分。</w:t>
      </w:r>
    </w:p>
    <w:p>
      <w:pPr>
        <w:pStyle w:val="24"/>
        <w:spacing w:before="0" w:beforeAutospacing="0" w:after="0" w:afterAutospacing="0" w:line="360" w:lineRule="exact"/>
        <w:ind w:left="0" w:firstLineChars="200" w:firstLine="420"/>
        <w:rPr>
          <w:rFonts w:ascii="黑体" w:eastAsia="黑体" w:cs="黑体" w:hAnsi="黑体" w:hint="eastAsia"/>
          <w:b/>
          <w:bCs/>
          <w:color w:val="auto"/>
          <w:sz w:val="21"/>
          <w:szCs w:val="21"/>
          <w:vertAlign w:val="baseline"/>
          <w:lang w:eastAsia="zh-CN" w:bidi="ar-SA"/>
        </w:rPr>
      </w:pPr>
      <w:bookmarkStart w:id="5" w:name="wordCheck_2O3vbbYtUnH_2O3vf4twxnU"/>
      <w:bookmarkStart w:id="6" w:name="wordCheck_2NLh1V64U76_2NLh6igDD0W"/>
      <w:r>
        <w:rPr>
          <w:rFonts w:ascii="黑体" w:eastAsia="黑体" w:cs="黑体" w:hAnsi="黑体" w:hint="eastAsia"/>
          <w:b/>
          <w:bCs/>
          <w:color w:val="auto"/>
          <w:kern w:val="2"/>
          <w:sz w:val="21"/>
          <w:szCs w:val="21"/>
          <w:vertAlign w:val="baseline"/>
          <w:lang w:val="en-US" w:eastAsia="zh-CN" w:bidi="ar-SA"/>
        </w:rPr>
        <w:t>8</w:t>
      </w:r>
      <w:r>
        <w:rPr>
          <w:rFonts w:ascii="黑体" w:eastAsia="黑体" w:cs="黑体" w:hAnsi="黑体" w:hint="eastAsia"/>
          <w:b/>
          <w:bCs/>
          <w:color w:val="auto"/>
          <w:kern w:val="2"/>
          <w:sz w:val="21"/>
          <w:szCs w:val="21"/>
          <w:vertAlign w:val="baseline"/>
          <w:lang w:bidi="ar-SA"/>
        </w:rPr>
        <w:t>.2</w:t>
      </w:r>
      <w:r>
        <w:rPr>
          <w:rFonts w:ascii="黑体" w:eastAsia="黑体" w:cs="黑体" w:hAnsi="黑体" w:hint="eastAsia"/>
          <w:b/>
          <w:bCs/>
          <w:color w:val="auto"/>
          <w:sz w:val="21"/>
          <w:szCs w:val="21"/>
          <w:vertAlign w:val="baseline"/>
          <w:lang w:bidi="ar-SA"/>
        </w:rPr>
        <w:t>不良征信报送</w:t>
      </w:r>
      <w:r>
        <w:rPr>
          <w:rFonts w:ascii="黑体" w:eastAsia="黑体" w:cs="黑体" w:hAnsi="黑体" w:hint="eastAsia"/>
          <w:b/>
          <w:bCs/>
          <w:color w:val="auto"/>
          <w:sz w:val="21"/>
          <w:szCs w:val="21"/>
          <w:vertAlign w:val="baseline"/>
          <w:lang w:eastAsia="zh-CN" w:bidi="ar-SA"/>
        </w:rPr>
        <w:t>、甲方个人信息处理</w:t>
      </w:r>
      <w:r>
        <w:rPr>
          <w:rFonts w:ascii="黑体" w:eastAsia="黑体" w:cs="黑体" w:hAnsi="黑体" w:hint="eastAsia"/>
          <w:b/>
          <w:bCs/>
          <w:color w:val="auto"/>
          <w:sz w:val="21"/>
          <w:szCs w:val="21"/>
          <w:vertAlign w:val="baseline"/>
          <w:lang w:bidi="ar-SA"/>
        </w:rPr>
        <w:t>等其他未尽事宜均依据双方已签署的《中国邮政储蓄银行信用卡（个人卡）章程》及《中国邮政储蓄银行信用卡（个人卡）领用合约》</w:t>
      </w:r>
      <w:r>
        <w:rPr>
          <w:rStyle w:val="23"/>
          <w:rFonts w:ascii="黑体" w:eastAsia="黑体" w:cs="黑体" w:hAnsi="黑体" w:hint="eastAsia"/>
          <w:bCs/>
          <w:sz w:val="21"/>
          <w:szCs w:val="21"/>
          <w:vertAlign w:val="baseline"/>
          <w:lang w:eastAsia="zh-CN" w:bidi="ar-SA"/>
        </w:rPr>
        <w:t>（可通过乙方官方网站www.psbc.com查询）</w:t>
      </w:r>
      <w:r>
        <w:rPr>
          <w:rFonts w:ascii="黑体" w:eastAsia="黑体" w:cs="黑体" w:hAnsi="黑体" w:hint="eastAsia"/>
          <w:b/>
          <w:bCs/>
          <w:color w:val="auto"/>
          <w:sz w:val="21"/>
          <w:szCs w:val="21"/>
          <w:vertAlign w:val="baseline"/>
          <w:lang w:bidi="ar-SA"/>
        </w:rPr>
        <w:t>执行。</w:t>
      </w:r>
      <w:bookmarkEnd w:id="5"/>
      <w:bookmarkEnd w:id="6"/>
    </w:p>
    <w:p>
      <w:pPr>
        <w:pStyle w:val="24"/>
        <w:spacing w:before="0" w:beforeAutospacing="0" w:after="0" w:afterAutospacing="0" w:line="360" w:lineRule="exact"/>
        <w:ind w:left="0" w:firstLineChars="200" w:firstLine="420"/>
        <w:rPr>
          <w:rFonts w:ascii="黑体" w:eastAsia="黑体" w:cs="黑体" w:hAnsi="黑体" w:hint="eastAsia"/>
          <w:b/>
          <w:bCs/>
          <w:color w:val="auto"/>
          <w:kern w:val="2"/>
          <w:sz w:val="21"/>
          <w:szCs w:val="21"/>
          <w:vertAlign w:val="baseline"/>
          <w:lang w:bidi="ar-SA"/>
        </w:rPr>
      </w:pPr>
      <w:r>
        <w:rPr>
          <w:rFonts w:ascii="黑体" w:eastAsia="黑体" w:cs="黑体" w:hAnsi="黑体" w:hint="eastAsia"/>
          <w:b/>
          <w:bCs/>
          <w:color w:val="auto"/>
          <w:kern w:val="2"/>
          <w:sz w:val="21"/>
          <w:szCs w:val="21"/>
          <w:vertAlign w:val="baseline"/>
          <w:lang w:val="en-US" w:eastAsia="zh-CN" w:bidi="ar-SA"/>
        </w:rPr>
        <w:t>8</w:t>
      </w:r>
      <w:r>
        <w:rPr>
          <w:rFonts w:ascii="黑体" w:eastAsia="黑体" w:cs="黑体" w:hAnsi="黑体" w:hint="eastAsia"/>
          <w:b/>
          <w:bCs/>
          <w:color w:val="auto"/>
          <w:kern w:val="2"/>
          <w:sz w:val="21"/>
          <w:szCs w:val="21"/>
          <w:vertAlign w:val="baseline"/>
          <w:lang w:bidi="ar-SA"/>
        </w:rPr>
        <w:t>.</w:t>
      </w:r>
      <w:r>
        <w:rPr>
          <w:rFonts w:ascii="黑体" w:eastAsia="黑体" w:cs="黑体" w:hAnsi="黑体" w:hint="eastAsia"/>
          <w:b/>
          <w:bCs/>
          <w:color w:val="auto"/>
          <w:kern w:val="2"/>
          <w:sz w:val="21"/>
          <w:szCs w:val="21"/>
          <w:vertAlign w:val="baseline"/>
          <w:lang w:val="en-US" w:eastAsia="zh-CN" w:bidi="ar-SA"/>
        </w:rPr>
        <w:t>3</w:t>
      </w:r>
      <w:r>
        <w:rPr>
          <w:rFonts w:ascii="黑体" w:eastAsia="黑体" w:cs="黑体" w:hAnsi="黑体" w:hint="eastAsia"/>
          <w:b/>
          <w:bCs/>
          <w:color w:val="auto"/>
          <w:sz w:val="21"/>
          <w:szCs w:val="21"/>
          <w:vertAlign w:val="baseline"/>
          <w:lang w:val="en-US" w:eastAsia="zh-CN" w:bidi="ar-SA"/>
        </w:rPr>
        <w:t xml:space="preserve"> </w:t>
      </w:r>
      <w:r>
        <w:rPr>
          <w:rFonts w:ascii="黑体" w:eastAsia="黑体" w:cs="黑体" w:hAnsi="黑体" w:hint="eastAsia"/>
          <w:b/>
          <w:bCs/>
          <w:color w:val="auto"/>
          <w:sz w:val="21"/>
          <w:szCs w:val="21"/>
          <w:vertAlign w:val="baseline"/>
          <w:lang w:bidi="ar-SA"/>
        </w:rPr>
        <w:t>乙方修改本业务条款及</w:t>
      </w:r>
      <w:r>
        <w:rPr>
          <w:rFonts w:ascii="黑体" w:eastAsia="黑体" w:cs="黑体" w:hAnsi="黑体" w:hint="eastAsia"/>
          <w:b/>
          <w:bCs/>
          <w:color w:val="auto"/>
          <w:sz w:val="21"/>
          <w:szCs w:val="21"/>
          <w:vertAlign w:val="baseline"/>
          <w:lang w:val="en-US" w:eastAsia="zh-CN" w:bidi="ar-SA"/>
        </w:rPr>
        <w:t>协议或调整业务收费标准</w:t>
      </w:r>
      <w:r>
        <w:rPr>
          <w:rFonts w:ascii="黑体" w:eastAsia="黑体" w:cs="黑体" w:hAnsi="黑体" w:hint="eastAsia"/>
          <w:b/>
          <w:bCs/>
          <w:color w:val="auto"/>
          <w:sz w:val="21"/>
          <w:szCs w:val="21"/>
          <w:vertAlign w:val="baseline"/>
          <w:lang w:bidi="ar-SA"/>
        </w:rPr>
        <w:t>，可通过</w:t>
      </w:r>
      <w:r>
        <w:rPr>
          <w:rFonts w:ascii="黑体" w:eastAsia="黑体" w:cs="黑体" w:hAnsi="黑体" w:hint="eastAsia"/>
          <w:b/>
          <w:bCs/>
          <w:color w:val="auto"/>
          <w:sz w:val="21"/>
          <w:szCs w:val="21"/>
          <w:vertAlign w:val="baseline"/>
          <w:lang w:val="en-US" w:eastAsia="zh-CN" w:bidi="ar-SA"/>
        </w:rPr>
        <w:t>乙方官方</w:t>
      </w:r>
      <w:r>
        <w:rPr>
          <w:rFonts w:ascii="黑体" w:eastAsia="黑体" w:cs="黑体" w:hAnsi="黑体" w:hint="eastAsia"/>
          <w:b/>
          <w:bCs/>
          <w:color w:val="auto"/>
          <w:sz w:val="21"/>
          <w:szCs w:val="21"/>
          <w:vertAlign w:val="baseline"/>
          <w:lang w:bidi="ar-SA"/>
        </w:rPr>
        <w:t>网站（www.psbc.com）公告等方式通知甲方，自公告之日起45日后生效（法律法规另有规定的除外）</w:t>
      </w:r>
      <w:r>
        <w:rPr>
          <w:rFonts w:ascii="黑体" w:eastAsia="黑体" w:cs="黑体" w:hAnsi="黑体" w:hint="eastAsia"/>
          <w:b/>
          <w:bCs/>
          <w:color w:val="auto"/>
          <w:sz w:val="21"/>
          <w:szCs w:val="21"/>
          <w:vertAlign w:val="baseline"/>
          <w:lang w:eastAsia="zh-CN" w:bidi="ar-SA"/>
        </w:rPr>
        <w:t>。</w:t>
      </w:r>
      <w:r>
        <w:rPr>
          <w:rFonts w:ascii="黑体" w:eastAsia="黑体" w:cs="黑体" w:hAnsi="黑体" w:hint="eastAsia"/>
          <w:b/>
          <w:bCs/>
          <w:color w:val="auto"/>
          <w:sz w:val="21"/>
          <w:szCs w:val="21"/>
          <w:vertAlign w:val="baseline"/>
          <w:lang w:val="en-US" w:eastAsia="zh-CN" w:bidi="ar-SA"/>
        </w:rPr>
        <w:t>乙方</w:t>
      </w:r>
      <w:r>
        <w:rPr>
          <w:rFonts w:ascii="黑体" w:eastAsia="黑体" w:cs="黑体" w:hAnsi="黑体" w:hint="eastAsia"/>
          <w:b/>
          <w:bCs/>
          <w:color w:val="auto"/>
          <w:sz w:val="21"/>
          <w:szCs w:val="21"/>
          <w:vertAlign w:val="baseline"/>
          <w:lang w:eastAsia="zh-CN" w:bidi="ar-SA"/>
        </w:rPr>
        <w:t>可基于执行国家法律法规、维护客户权益、保障交易安全、进行系统升级、提升服务质量等原因调整服务内容，暂停或终止本业务服务，并通过官方网站、营业网点公示或交易提示方式通知</w:t>
      </w:r>
      <w:r>
        <w:rPr>
          <w:rFonts w:ascii="黑体" w:eastAsia="黑体" w:cs="黑体" w:hAnsi="黑体" w:hint="eastAsia"/>
          <w:b/>
          <w:bCs/>
          <w:color w:val="auto"/>
          <w:sz w:val="21"/>
          <w:szCs w:val="21"/>
          <w:vertAlign w:val="baseline"/>
          <w:lang w:val="en-US" w:eastAsia="zh-CN" w:bidi="ar-SA"/>
        </w:rPr>
        <w:t>甲方</w:t>
      </w:r>
      <w:r>
        <w:rPr>
          <w:rFonts w:ascii="黑体" w:eastAsia="黑体" w:cs="黑体" w:hAnsi="黑体" w:hint="eastAsia"/>
          <w:b/>
          <w:bCs/>
          <w:color w:val="auto"/>
          <w:sz w:val="21"/>
          <w:szCs w:val="21"/>
          <w:vertAlign w:val="baseline"/>
          <w:lang w:eastAsia="zh-CN" w:bidi="ar-SA"/>
        </w:rPr>
        <w:t>，法律法规另有规定或双方另有约定的除外。</w:t>
      </w:r>
      <w:r>
        <w:rPr>
          <w:rFonts w:ascii="黑体" w:eastAsia="黑体" w:cs="黑体" w:hAnsi="黑体" w:hint="eastAsia"/>
          <w:b/>
          <w:bCs/>
          <w:color w:val="auto"/>
          <w:sz w:val="21"/>
          <w:szCs w:val="21"/>
          <w:vertAlign w:val="baseline"/>
          <w:lang w:val="en-US" w:eastAsia="zh-CN" w:bidi="ar-SA"/>
        </w:rPr>
        <w:t>甲方</w:t>
      </w:r>
      <w:r>
        <w:rPr>
          <w:rFonts w:ascii="黑体" w:eastAsia="黑体" w:cs="黑体" w:hAnsi="黑体" w:hint="eastAsia"/>
          <w:b/>
          <w:bCs/>
          <w:color w:val="auto"/>
          <w:sz w:val="21"/>
          <w:szCs w:val="21"/>
          <w:vertAlign w:val="baseline"/>
          <w:lang w:eastAsia="zh-CN" w:bidi="ar-SA"/>
        </w:rPr>
        <w:t>不同意的，经双方协商后可在清偿本</w:t>
      </w:r>
      <w:r>
        <w:rPr>
          <w:rFonts w:ascii="黑体" w:eastAsia="黑体" w:cs="黑体" w:hAnsi="黑体" w:hint="eastAsia"/>
          <w:b/>
          <w:bCs/>
          <w:color w:val="auto"/>
          <w:sz w:val="21"/>
          <w:szCs w:val="21"/>
          <w:vertAlign w:val="baseline"/>
          <w:lang w:val="en-US" w:eastAsia="zh-CN" w:bidi="ar-SA"/>
        </w:rPr>
        <w:t>协议</w:t>
      </w:r>
      <w:r>
        <w:rPr>
          <w:rFonts w:ascii="黑体" w:eastAsia="黑体" w:cs="黑体" w:hAnsi="黑体" w:hint="eastAsia"/>
          <w:b/>
          <w:bCs/>
          <w:color w:val="auto"/>
          <w:sz w:val="21"/>
          <w:szCs w:val="21"/>
          <w:vertAlign w:val="baseline"/>
          <w:lang w:eastAsia="zh-CN" w:bidi="ar-SA"/>
        </w:rPr>
        <w:t>下全部债务后解除合同；各方协商一致的，也可变更相关服务和对应合同内容。</w:t>
      </w:r>
    </w:p>
    <w:p>
      <w:pPr>
        <w:pStyle w:val="24"/>
        <w:spacing w:before="0" w:beforeAutospacing="0" w:after="0" w:afterAutospacing="0" w:line="360" w:lineRule="exact"/>
        <w:ind w:left="0" w:firstLineChars="200" w:firstLine="420"/>
        <w:rPr>
          <w:rFonts w:ascii="宋体" w:eastAsia="宋体" w:hAnsi="宋体" w:hint="eastAsia"/>
          <w:color w:val="auto"/>
          <w:sz w:val="21"/>
          <w:szCs w:val="21"/>
          <w:vertAlign w:val="baseline"/>
        </w:rPr>
      </w:pPr>
      <w:r>
        <w:rPr>
          <w:rFonts w:ascii="宋体" w:eastAsia="宋体" w:hAnsi="宋体" w:hint="eastAsia"/>
          <w:color w:val="auto"/>
          <w:sz w:val="21"/>
          <w:szCs w:val="21"/>
          <w:vertAlign w:val="baseline"/>
          <w:lang w:val="en-US" w:eastAsia="zh-CN"/>
        </w:rPr>
        <w:t>8</w:t>
      </w:r>
      <w:r>
        <w:rPr>
          <w:rFonts w:ascii="宋体" w:eastAsia="宋体" w:hAnsi="宋体" w:hint="eastAsia"/>
          <w:color w:val="auto"/>
          <w:sz w:val="21"/>
          <w:szCs w:val="21"/>
          <w:vertAlign w:val="baseline"/>
        </w:rPr>
        <w:t>.</w:t>
      </w:r>
      <w:r>
        <w:rPr>
          <w:rFonts w:ascii="宋体" w:eastAsia="宋体" w:hAnsi="宋体" w:hint="eastAsia"/>
          <w:color w:val="auto"/>
          <w:sz w:val="21"/>
          <w:szCs w:val="21"/>
          <w:vertAlign w:val="baseline"/>
          <w:lang w:val="en-US" w:eastAsia="zh-CN"/>
        </w:rPr>
        <w:t>4</w:t>
      </w:r>
      <w:r>
        <w:rPr>
          <w:rFonts w:ascii="宋体" w:eastAsia="宋体" w:hAnsi="宋体" w:hint="eastAsia"/>
          <w:color w:val="auto"/>
          <w:sz w:val="21"/>
          <w:szCs w:val="21"/>
          <w:vertAlign w:val="baseline"/>
        </w:rPr>
        <w:t>本条所称法律法规包括法律、行政法规、地方性法规、规章、司法解释及其他具有法律效力的规定。</w:t>
      </w:r>
    </w:p>
    <w:p>
      <w:pPr>
        <w:kinsoku/>
        <w:wordWrap/>
        <w:overflowPunct/>
        <w:topLinePunct w:val="0"/>
        <w:autoSpaceDE w:val="0"/>
        <w:autoSpaceDN w:val="0"/>
        <w:spacing w:before="0" w:beforeAutospacing="0" w:after="0" w:afterAutospacing="0" w:line="360" w:lineRule="exact"/>
        <w:ind w:left="0" w:firstLineChars="200" w:firstLine="420"/>
        <w:rPr>
          <w:rFonts w:ascii="黑体" w:eastAsia="黑体" w:hAnsi="黑体" w:hint="eastAsia"/>
          <w:b/>
          <w:bCs/>
          <w:color w:val="auto"/>
          <w:sz w:val="21"/>
          <w:szCs w:val="21"/>
          <w:vertAlign w:val="baseline"/>
        </w:rPr>
      </w:pPr>
      <w:r>
        <w:rPr>
          <w:rFonts w:ascii="Calibri" w:eastAsia="宋体" w:hAnsi="宋体"/>
          <w:color w:val="auto"/>
          <w:sz w:val="21"/>
          <w:szCs w:val="21"/>
          <w:vertAlign w:val="baseline"/>
          <w:lang w:val="en-US" w:eastAsia="zh-CN"/>
        </w:rPr>
        <w:t>8</w:t>
      </w:r>
      <w:r>
        <w:rPr>
          <w:rFonts w:ascii="Calibri" w:eastAsia="宋体" w:hAnsi="宋体"/>
          <w:color w:val="auto"/>
          <w:sz w:val="21"/>
          <w:szCs w:val="21"/>
          <w:vertAlign w:val="baseline"/>
        </w:rPr>
        <w:t>.</w:t>
      </w:r>
      <w:r>
        <w:rPr>
          <w:rFonts w:ascii="Calibri" w:eastAsia="宋体" w:hAnsi="宋体"/>
          <w:color w:val="auto"/>
          <w:sz w:val="21"/>
          <w:szCs w:val="21"/>
          <w:vertAlign w:val="baseline"/>
          <w:lang w:val="en-US" w:eastAsia="zh-CN"/>
        </w:rPr>
        <w:t xml:space="preserve">5 </w:t>
      </w:r>
      <w:r>
        <w:rPr>
          <w:rFonts w:ascii="黑体" w:eastAsia="黑体" w:cs="Times New Roman" w:hAnsi="黑体" w:hint="eastAsia"/>
          <w:b/>
          <w:bCs/>
          <w:color w:val="auto"/>
          <w:sz w:val="21"/>
          <w:szCs w:val="21"/>
          <w:vertAlign w:val="baseline"/>
          <w:lang w:bidi="ar-SA"/>
        </w:rPr>
        <w:t>在甲方线上申请装修分期业务过程中，阅读并完成电子签名后，即表示甲方与乙方已达成协议并同意接受本《客户须知》中约定内容，经CFCA认证后加盖场景证书，本《客户须知》即成立和生效。如果不同意本《客户须知》的任意内容，或者无法准确理解本《客户须知》任何条款的含义，请不要进行电子签名。</w:t>
      </w:r>
      <w:r>
        <w:rPr>
          <w:rFonts w:ascii="Calibri" w:eastAsia="宋体" w:hAnsi="宋体" w:hint="eastAsia"/>
          <w:color w:val="auto"/>
          <w:sz w:val="21"/>
          <w:szCs w:val="21"/>
          <w:vertAlign w:val="baseline"/>
          <w:lang w:eastAsia="zh-CN"/>
        </w:rPr>
        <w:t>须</w:t>
      </w:r>
      <w:r>
        <w:rPr>
          <w:rFonts w:ascii="宋体" w:eastAsia="宋体" w:cs="宋体" w:hAnsi="宋体" w:hint="eastAsia"/>
          <w:color w:val="auto"/>
          <w:sz w:val="21"/>
          <w:szCs w:val="21"/>
          <w:vertAlign w:val="baseline"/>
          <w:lang w:eastAsia="zh-CN" w:bidi="ar-SA"/>
        </w:rPr>
        <w:t>知内容可通过乙方官方网站（www.psbc.com）查询、下载。</w:t>
      </w:r>
    </w:p>
    <w:p>
      <w:pPr>
        <w:pStyle w:val="25"/>
        <w:keepNext w:val="0"/>
        <w:keepLines w:val="0"/>
        <w:pageBreakBefore w:val="0"/>
        <w:widowControl/>
        <w:suppressLineNumbers w:val="0"/>
        <w:suppressAutoHyphens w:val="0"/>
        <w:spacing w:before="0" w:beforeAutospacing="0" w:after="0" w:afterAutospacing="0" w:line="360" w:lineRule="exact"/>
        <w:ind w:left="0" w:firstLineChars="200" w:firstLine="420"/>
        <w:rPr>
          <w:rFonts w:ascii="黑体" w:eastAsia="黑体" w:cs="黑体" w:hAnsi="黑体" w:hint="eastAsia"/>
          <w:b/>
          <w:bCs/>
          <w:color w:val="auto"/>
          <w:sz w:val="21"/>
          <w:szCs w:val="21"/>
          <w:vertAlign w:val="baseline"/>
          <w:lang w:eastAsia="zh-CN" w:bidi="ar-SA"/>
        </w:rPr>
      </w:pPr>
      <w:r>
        <w:rPr>
          <w:rFonts w:ascii="黑体" w:eastAsia="黑体" w:cs="黑体" w:hAnsi="黑体" w:hint="eastAsia"/>
          <w:b/>
          <w:bCs/>
          <w:color w:val="auto"/>
          <w:sz w:val="21"/>
          <w:szCs w:val="21"/>
          <w:vertAlign w:val="baseline"/>
          <w:lang w:val="en-US" w:eastAsia="zh-CN" w:bidi="ar-SA"/>
        </w:rPr>
        <w:t>8.6双方在履行本协议过程中，</w:t>
      </w:r>
      <w:r>
        <w:rPr>
          <w:rFonts w:ascii="黑体" w:eastAsia="黑体" w:cs="黑体" w:hAnsi="黑体" w:hint="eastAsia"/>
          <w:b/>
          <w:bCs/>
          <w:color w:val="auto"/>
          <w:sz w:val="21"/>
          <w:szCs w:val="21"/>
          <w:vertAlign w:val="baseline"/>
          <w:lang w:bidi="ar-SA"/>
        </w:rPr>
        <w:t>如发生争议，可由双方协商或者通过调解解决。协商解决不成提起诉讼者，由乙方住所地有管辖权的人民法院管辖</w:t>
      </w:r>
      <w:r>
        <w:rPr>
          <w:rFonts w:ascii="黑体" w:eastAsia="黑体" w:cs="黑体" w:hAnsi="黑体" w:hint="eastAsia"/>
          <w:b/>
          <w:bCs/>
          <w:color w:val="auto"/>
          <w:sz w:val="21"/>
          <w:szCs w:val="21"/>
          <w:vertAlign w:val="baseline"/>
          <w:lang w:val="en-US" w:eastAsia="zh-CN" w:bidi="ar-SA"/>
        </w:rPr>
        <w:t>。</w:t>
      </w:r>
    </w:p>
    <w:p>
      <w:pPr>
        <w:pStyle w:val="25"/>
        <w:keepNext w:val="0"/>
        <w:keepLines w:val="0"/>
        <w:pageBreakBefore w:val="0"/>
        <w:widowControl/>
        <w:suppressLineNumbers w:val="0"/>
        <w:suppressAutoHyphens w:val="0"/>
        <w:spacing w:before="0" w:beforeAutospacing="0" w:after="0" w:afterAutospacing="0" w:line="360" w:lineRule="exact"/>
        <w:ind w:left="0" w:firstLineChars="200" w:firstLine="420"/>
        <w:rPr>
          <w:rFonts w:ascii="宋体" w:eastAsia="宋体" w:cs="宋体" w:hAnsi="宋体" w:hint="eastAsia"/>
          <w:color w:val="auto"/>
          <w:sz w:val="21"/>
          <w:szCs w:val="21"/>
          <w:vertAlign w:val="baseline"/>
          <w:lang w:eastAsia="zh-CN" w:bidi="ar-SA"/>
        </w:rPr>
      </w:pPr>
    </w:p>
    <w:p>
      <w:pPr>
        <w:kinsoku/>
        <w:wordWrap/>
        <w:overflowPunct/>
        <w:topLinePunct w:val="0"/>
        <w:autoSpaceDE w:val="0"/>
        <w:autoSpaceDN w:val="0"/>
        <w:adjustRightInd w:val="0"/>
        <w:snapToGrid/>
        <w:spacing w:before="0" w:beforeAutospacing="0" w:after="0" w:afterAutospacing="0" w:line="360" w:lineRule="exact"/>
        <w:ind w:left="0" w:firstLine="470"/>
        <w:contextualSpacing w:val="0"/>
        <w:rPr>
          <w:rFonts w:ascii="黑体" w:eastAsia="黑体" w:hAnsi="黑体" w:hint="eastAsia"/>
          <w:b/>
          <w:bCs/>
          <w:sz w:val="24"/>
        </w:rPr>
      </w:pPr>
      <w:r>
        <w:rPr>
          <w:rFonts w:ascii="黑体" w:eastAsia="黑体" w:hAnsi="黑体" w:hint="eastAsia"/>
          <w:b/>
          <w:bCs/>
          <w:color w:val="000000"/>
          <w:sz w:val="24"/>
          <w:szCs w:val="24"/>
          <w:vertAlign w:val="baseline"/>
          <w:lang w:eastAsia="zh-CN"/>
        </w:rPr>
        <w:t>甲</w:t>
      </w:r>
      <w:r>
        <w:rPr>
          <w:rFonts w:ascii="黑体" w:eastAsia="黑体" w:hAnsi="黑体" w:hint="eastAsia"/>
          <w:b/>
          <w:bCs/>
          <w:color w:val="000000"/>
          <w:sz w:val="24"/>
          <w:szCs w:val="24"/>
          <w:vertAlign w:val="baseline"/>
        </w:rPr>
        <w:t>方声明：</w:t>
      </w:r>
      <w:r>
        <w:rPr>
          <w:rFonts w:ascii="黑体" w:eastAsia="黑体" w:hAnsi="黑体" w:hint="eastAsia"/>
          <w:b/>
          <w:bCs/>
          <w:color w:val="auto"/>
          <w:sz w:val="24"/>
          <w:szCs w:val="24"/>
          <w:vertAlign w:val="baseline"/>
          <w:lang w:eastAsia="zh-CN"/>
        </w:rPr>
        <w:t>乙</w:t>
      </w:r>
      <w:r>
        <w:rPr>
          <w:rFonts w:ascii="黑体" w:eastAsia="黑体" w:hAnsi="黑体" w:hint="eastAsia"/>
          <w:b/>
          <w:bCs/>
          <w:color w:val="auto"/>
          <w:sz w:val="24"/>
          <w:szCs w:val="24"/>
          <w:vertAlign w:val="baseline"/>
        </w:rPr>
        <w:t>方已依法向我方提示了本合同相关条款（特别是</w:t>
      </w:r>
      <w:r>
        <w:rPr>
          <w:rFonts w:ascii="黑体" w:eastAsia="黑体" w:hAnsi="黑体" w:hint="eastAsia"/>
          <w:b/>
          <w:bCs/>
          <w:color w:val="auto"/>
          <w:sz w:val="24"/>
          <w:szCs w:val="24"/>
          <w:vertAlign w:val="baseline"/>
          <w:lang w:val="en-US" w:eastAsia="zh-CN"/>
        </w:rPr>
        <w:t>含有</w:t>
      </w:r>
      <w:r>
        <w:rPr>
          <w:rFonts w:ascii="黑体" w:eastAsia="黑体" w:hAnsi="黑体" w:hint="eastAsia"/>
          <w:b/>
          <w:bCs/>
          <w:color w:val="auto"/>
          <w:sz w:val="24"/>
          <w:szCs w:val="24"/>
          <w:vertAlign w:val="baseline"/>
        </w:rPr>
        <w:t>黑体字</w:t>
      </w:r>
      <w:r>
        <w:rPr>
          <w:rFonts w:ascii="黑体" w:eastAsia="黑体" w:hAnsi="黑体" w:hint="eastAsia"/>
          <w:b/>
          <w:bCs/>
          <w:color w:val="auto"/>
          <w:sz w:val="24"/>
          <w:szCs w:val="24"/>
          <w:vertAlign w:val="baseline"/>
          <w:lang w:val="en-US" w:eastAsia="zh-CN"/>
        </w:rPr>
        <w:t>标题或黑体字文字的</w:t>
      </w:r>
      <w:r>
        <w:rPr>
          <w:rFonts w:ascii="黑体" w:eastAsia="黑体" w:hAnsi="黑体" w:hint="eastAsia"/>
          <w:b/>
          <w:bCs/>
          <w:color w:val="auto"/>
          <w:sz w:val="24"/>
          <w:szCs w:val="24"/>
          <w:vertAlign w:val="baseline"/>
        </w:rPr>
        <w:t>条款），应我方要求对相关条款的概念、内容及法律效果做了说明，我方已经知悉并理解上述条款</w:t>
      </w:r>
      <w:r>
        <w:rPr>
          <w:rFonts w:ascii="黑体" w:eastAsia="黑体" w:hAnsi="黑体" w:hint="eastAsia"/>
          <w:b/>
          <w:bCs/>
          <w:sz w:val="24"/>
        </w:rPr>
        <w:t>。</w:t>
      </w:r>
    </w:p>
    <w:p>
      <w:pPr>
        <w:pStyle w:val="20"/>
        <w:adjustRightInd w:val="0"/>
        <w:spacing w:line="600" w:lineRule="exact"/>
        <w:ind w:firstLineChars="200" w:firstLine="420"/>
        <w:jc w:val="center"/>
        <w:rPr>
          <w:rFonts w:ascii="方正小标宋简体" w:eastAsia="方正小标宋简体" w:cs="方正小标宋简体" w:hAnsi="方正小标宋简体" w:hint="eastAsia"/>
          <w:b/>
          <w:sz w:val="36"/>
          <w:szCs w:val="36"/>
          <w:lang w:bidi="ar-SA"/>
        </w:rPr>
      </w:pPr>
      <w:r>
        <w:rPr>
          <w:rFonts w:hint="eastAsia"/>
          <w:sz w:val="21"/>
          <w:szCs w:val="21"/>
        </w:rPr>
        <w:br w:type="page"/>
      </w:r>
      <w:r>
        <w:rPr>
          <w:rFonts w:ascii="方正小标宋简体" w:eastAsia="方正小标宋简体" w:cs="方正小标宋简体" w:hAnsi="方正小标宋简体" w:hint="eastAsia"/>
          <w:b/>
          <w:sz w:val="36"/>
          <w:szCs w:val="36"/>
          <w:lang w:bidi="ar-SA"/>
        </w:rPr>
        <w:t>不同期数的每月分期利率及</w:t>
      </w:r>
    </w:p>
    <w:p>
      <w:pPr>
        <w:pStyle w:val="20"/>
        <w:adjustRightInd w:val="0"/>
        <w:spacing w:line="600" w:lineRule="exact"/>
        <w:ind w:left="0" w:firstLineChars="200" w:firstLine="720"/>
        <w:jc w:val="center"/>
        <w:rPr>
          <w:rFonts w:ascii="方正小标宋简体" w:eastAsia="方正小标宋简体" w:cs="方正小标宋简体" w:hAnsi="方正小标宋简体" w:hint="eastAsia"/>
          <w:b/>
          <w:sz w:val="36"/>
          <w:szCs w:val="36"/>
          <w:lang w:bidi="ar-SA"/>
        </w:rPr>
      </w:pPr>
      <w:r>
        <w:rPr>
          <w:rFonts w:ascii="方正小标宋简体" w:eastAsia="方正小标宋简体" w:cs="方正小标宋简体" w:hAnsi="方正小标宋简体" w:hint="eastAsia"/>
          <w:b/>
          <w:sz w:val="36"/>
          <w:szCs w:val="36"/>
          <w:lang w:bidi="ar-SA"/>
        </w:rPr>
        <w:t>近似年化利率（单利）对应关系</w:t>
      </w:r>
    </w:p>
    <w:tbl>
      <w:tblPr>
        <w:jc w:val="left"/>
        <w:tblInd w:w="9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10"/>
        <w:gridCol w:w="1410"/>
        <w:gridCol w:w="1513"/>
        <w:gridCol w:w="1410"/>
        <w:gridCol w:w="1410"/>
        <w:gridCol w:w="1410"/>
      </w:tblGrid>
      <w:tr>
        <w:trPr>
          <w:trHeight w:val="644"/>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spacing w:beforeAutospacing="0" w:afterAutospacing="0" w:line="360" w:lineRule="exact"/>
              <w:jc w:val="center"/>
              <w:rPr>
                <w:rFonts w:ascii="宋体" w:cs="宋体" w:hAnsi="宋体" w:hint="eastAsia"/>
                <w:b/>
                <w:bCs/>
                <w:color w:val="000000"/>
                <w:sz w:val="20"/>
                <w:szCs w:val="20"/>
                <w:lang w:bidi="ar-SA"/>
              </w:rPr>
            </w:pPr>
            <w:r>
              <w:rPr>
                <w:rFonts w:ascii="宋体" w:cs="宋体" w:hAnsi="宋体" w:hint="eastAsia"/>
                <w:b/>
                <w:bCs/>
                <w:color w:val="000000"/>
                <w:sz w:val="20"/>
                <w:szCs w:val="20"/>
                <w:lang w:bidi="ar-SA"/>
              </w:rPr>
              <w:t>每月分期利率</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12期</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24期</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36期</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48期</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b/>
                <w:bCs/>
                <w:color w:val="000000"/>
                <w:sz w:val="20"/>
                <w:szCs w:val="20"/>
                <w:lang w:bidi="ar-SA"/>
              </w:rPr>
            </w:pPr>
            <w:r>
              <w:rPr>
                <w:rFonts w:ascii="宋体" w:cs="宋体" w:hAnsi="宋体" w:hint="eastAsia"/>
                <w:b/>
                <w:bCs/>
                <w:color w:val="000000"/>
                <w:kern w:val="0"/>
                <w:sz w:val="20"/>
                <w:szCs w:val="20"/>
                <w:lang w:bidi="ar-SA"/>
              </w:rPr>
              <w:t>60期</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3.96%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4.09%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4.07%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4.22%</w:t>
            </w:r>
          </w:p>
        </w:tc>
      </w:tr>
      <w:tr>
        <w:trPr>
          <w:trHeight w:val="26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4.18%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4.33%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0.195%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4.29%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4.40%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4.51%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4.62%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4.73%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4.88%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4.88%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4.84%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5.02%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5.01%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4.95%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0.230%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5.06%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5.17%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5.27%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5.38%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5.53%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5.49%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5.60%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5.71%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5.82%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5.93%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0.275%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6.04%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6.15%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6.25%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6.36%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0.295%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6.47%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6.58%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6.71%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6.69%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6.80%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6.91%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7.01%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7.12%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0.330%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7.23%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7.34%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7.45%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7.56%</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7.56%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7.66%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7.77%</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7.77%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7.88%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7.99%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8.08%</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8.10%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8.19%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0.375%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8.29%</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8.31%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8.42%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8.53%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8.60%</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0.395%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8.64%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8.75%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8.85%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8.91%</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8.96%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9.07%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0.420%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9.18%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9.22%</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9.28%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0.430%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9.39%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9.43%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9.53%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0.440%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9.83%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9.81%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9.63%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9.71%</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9.83%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9.73%</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0.450%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9.82%</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10.05%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10.02%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9.94%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widowControl/>
              <w:suppressLineNumbers w:val="0"/>
              <w:spacing w:beforeAutospacing="0" w:afterAutospacing="0" w:line="360" w:lineRule="exact"/>
              <w:jc w:val="center"/>
              <w:textAlignment w:val="center"/>
              <w:rPr>
                <w:rFonts w:ascii="宋体" w:cs="宋体" w:hAnsi="宋体" w:hint="eastAsia"/>
                <w:color w:val="000000"/>
                <w:sz w:val="20"/>
                <w:szCs w:val="20"/>
                <w:lang w:bidi="ar-SA"/>
              </w:rPr>
            </w:pPr>
            <w:r>
              <w:rPr>
                <w:rFonts w:ascii="宋体" w:eastAsia="宋体" w:cs="宋体" w:hAnsi="宋体" w:hint="eastAsia"/>
                <w:color w:val="000000"/>
                <w:kern w:val="0"/>
                <w:sz w:val="20"/>
                <w:szCs w:val="20"/>
                <w:u w:val="none"/>
                <w:lang w:val="en-US" w:eastAsia="zh-CN" w:bidi="ar-SA"/>
              </w:rPr>
              <w:t>9.84%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9.93%</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10.04%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9.94%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0.460%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10.04%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10.04%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0.465%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10.14%</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10.34%</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10.14%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10.25%</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10.24%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0.475%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10.36%</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10.59%</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10.34%</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10.56%</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10.45%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0.485%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10.57%</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10.55%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0.490%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10.68%</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10.91%</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10.65%</w:t>
            </w:r>
          </w:p>
        </w:tc>
      </w:tr>
      <w:tr>
        <w:trPr>
          <w:trHeight w:val="30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0.495%</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10.79%</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11.02%</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10.75%</w:t>
            </w:r>
          </w:p>
        </w:tc>
      </w:tr>
      <w:tr>
        <w:trPr>
          <w:trHeight w:val="90"/>
        </w:trPr>
        <w:tc>
          <w:tcPr>
            <w:tcW w:w="9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0.500%</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10.90%</w:t>
            </w:r>
          </w:p>
        </w:tc>
        <w:tc>
          <w:tcPr>
            <w:tcW w:w="1513"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11.13%</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11.08%</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10.97%</w:t>
            </w:r>
          </w:p>
        </w:tc>
        <w:tc>
          <w:tcPr>
            <w:tcW w:w="1410" w:type="dxa"/>
            <w:tcBorders>
              <w:top w:val="single" w:sz="4" w:space="0" w:color="000000"/>
              <w:left w:val="single" w:sz="4" w:space="0" w:color="000000"/>
              <w:bottom w:val="single" w:sz="4" w:space="0" w:color="000000"/>
              <w:right w:val="single" w:sz="4" w:space="0" w:color="000000"/>
              <w:tl2br w:val="nil"/>
              <w:tr2bl w:val="nil"/>
            </w:tcBorders>
            <w:noWrap/>
            <w:vAlign w:val="center"/>
          </w:tcPr>
          <w:p>
            <w:pPr>
              <w:widowControl/>
              <w:spacing w:beforeAutospacing="0" w:afterAutospacing="0" w:line="360" w:lineRule="exact"/>
              <w:jc w:val="center"/>
              <w:textAlignment w:val="center"/>
              <w:rPr>
                <w:rFonts w:ascii="宋体" w:cs="宋体" w:hAnsi="宋体" w:hint="eastAsia"/>
                <w:color w:val="000000"/>
                <w:sz w:val="20"/>
                <w:szCs w:val="20"/>
                <w:lang w:bidi="ar-SA"/>
              </w:rPr>
            </w:pPr>
            <w:r>
              <w:rPr>
                <w:rFonts w:ascii="宋体" w:cs="宋体" w:hAnsi="宋体" w:hint="eastAsia"/>
                <w:color w:val="000000"/>
                <w:kern w:val="0"/>
                <w:sz w:val="20"/>
                <w:szCs w:val="20"/>
                <w:lang w:bidi="ar-SA"/>
              </w:rPr>
              <w:t>10.85%</w:t>
            </w:r>
          </w:p>
        </w:tc>
      </w:tr>
    </w:tbl>
    <w:p/>
    <w:sectPr>
      <w:pgSz w:w="11907" w:h="16839"/>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小标宋简体">
    <w:altName w:val="方正兰亭黑_GBK"/>
    <w:panose1 w:val="02000000000000000000"/>
    <w:charset w:val="86"/>
    <w:family w:val="script"/>
    <w:pitch w:val="variable"/>
    <w:sig w:usb0="A00002BF" w:usb1="184F6CFA" w:usb2="00000012"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宋体">
    <w:altName w:val="方正书宋_GBK"/>
    <w:panose1 w:val="02010600030101010101"/>
    <w:charset w:val="86"/>
    <w:family w:val="auto"/>
    <w:pitch w:val="variable"/>
    <w:sig w:usb0="00000003" w:usb1="080E0000" w:usb2="00000000"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Times New Roman">
    <w:altName w:val="DejaVu Sans"/>
    <w:panose1 w:val="02020603050405020304"/>
    <w:charset w:val="00"/>
    <w:family w:val="auto"/>
    <w:pitch w:val="variable"/>
    <w:sig w:usb0="00000A87" w:usb1="00000000" w:usb2="00000000" w:usb3="00000000" w:csb0="400001BF" w:csb1="DFF70000"/>
  </w:font>
  <w:font w:name="Lucida Sans">
    <w:altName w:val="DejaVu Sans"/>
    <w:panose1 w:val="020B0602030504020204"/>
    <w:charset w:val="00"/>
    <w:family w:val="auto"/>
    <w:pitch w:val="variable"/>
    <w:sig w:usb0="00000000" w:usb1="00000000" w:usb2="00000000" w:usb3="00000000" w:csb0="20000001" w:csb1="00000000"/>
  </w:font>
  <w:font w:name="仿宋_GB2312">
    <w:altName w:val="方正仿宋_GBK"/>
    <w:panose1 w:val="02010609030101010101"/>
    <w:charset w:val="00"/>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displayBackgroundShape/>
  <w:bordersDoNotSurroundHeader/>
  <w:bordersDoNotSurroundFooter/>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spacing w:line="560" w:lineRule="exact"/>
      <w:jc w:val="both"/>
    </w:pPr>
    <w:rPr>
      <w:rFonts w:ascii="Times New Roman" w:eastAsia="仿宋_GB2312" w:cs="Times New Roman" w:hAnsi="仿宋_GB2312"/>
      <w:kern w:val="2"/>
      <w:sz w:val="32"/>
      <w:szCs w:val="20"/>
      <w:lang w:val="en-US" w:eastAsia="zh-CN" w:bidi="ar-SA"/>
    </w:rPr>
  </w:style>
  <w:style w:type="paragraph" w:styleId="1">
    <w:name w:val="heading 1"/>
    <w:qFormat/>
    <w:basedOn w:val="0"/>
    <w:next w:val="0"/>
    <w:link w:val="1Char"/>
    <w:pPr>
      <w:keepNext/>
      <w:keepLines/>
      <w:widowControl w:val="0"/>
      <w:spacing w:before="340" w:after="330" w:line="576" w:lineRule="auto"/>
      <w:jc w:val="both"/>
      <w:outlineLvl w:val="0"/>
    </w:pPr>
    <w:rPr>
      <w:rFonts w:ascii="Times New Roman" w:eastAsia="仿宋_GB2312" w:cs="Times New Roman" w:hAnsi="Times New Roman"/>
      <w:b/>
      <w:bCs/>
      <w:kern w:val="44"/>
      <w:sz w:val="44"/>
      <w:szCs w:val="44"/>
      <w:lang w:val="en-US" w:eastAsia="zh-CN" w:bidi="ar-SA"/>
    </w:rPr>
  </w:style>
  <w:style w:type="character" w:customStyle="1" w:styleId="1Char">
    <w:name w:val="heading 1 Char"/>
    <w:basedOn w:val="10"/>
    <w:link w:val="1"/>
    <w:rPr>
      <w:rFonts w:ascii="Times New Roman" w:eastAsia="仿宋_GB2312"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Times New Roman"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仿宋_GB2312" w:cs="Times New Roman" w:hAnsi="仿宋_GB2312"/>
      <w:b/>
      <w:bCs/>
      <w:kern w:val="2"/>
      <w:sz w:val="32"/>
      <w:szCs w:val="32"/>
      <w:lang w:val="en-US" w:eastAsia="zh-CN" w:bidi="ar-SA"/>
    </w:rPr>
  </w:style>
  <w:style w:type="character" w:default="1" w:styleId="10">
    <w:name w:val="Default Paragraph Font"/>
    <w:qFormat/>
  </w:style>
  <w:style w:type="paragraph" w:styleId="15">
    <w:name w:val="footer"/>
    <w:qFormat/>
    <w:basedOn w:val="0"/>
    <w:pPr>
      <w:tabs>
        <w:tab w:val="center" w:pos="4153"/>
        <w:tab w:val="right" w:pos="8307"/>
      </w:tabs>
      <w:snapToGrid w:val="0"/>
      <w:jc w:val="left"/>
    </w:pPr>
    <w:rPr>
      <w:sz w:val="18"/>
      <w:szCs w:val="18"/>
    </w:rPr>
  </w:style>
  <w:style w:type="paragraph" w:styleId="16">
    <w:name w:val="index heading"/>
    <w:qFormat/>
    <w:basedOn w:val="0"/>
    <w:rPr>
      <w:rFonts w:ascii="Times New Roman" w:hAnsi="Times New Roman"/>
      <w:b/>
    </w:rPr>
  </w:style>
  <w:style w:type="paragraph" w:styleId="17">
    <w:name w:val="table of figures"/>
    <w:qFormat/>
    <w:basedOn w:val="0"/>
    <w:next w:val="0"/>
    <w:pPr>
      <w:ind w:leftChars="200" w:left="400" w:hangingChars="200" w:hanging="200"/>
    </w:pPr>
  </w:style>
  <w:style w:type="paragraph" w:styleId="18">
    <w:name w:val="envelope return"/>
    <w:qFormat/>
    <w:basedOn w:val="0"/>
    <w:pPr>
      <w:snapToGrid w:val="0"/>
    </w:pPr>
    <w:rPr>
      <w:rFonts w:ascii="Times New Roman" w:hAnsi="Times New Roman"/>
    </w:rPr>
  </w:style>
  <w:style w:type="character" w:styleId="19">
    <w:name w:val="annotation reference"/>
    <w:qFormat/>
    <w:basedOn w:val="10"/>
    <w:rPr>
      <w:sz w:val="21"/>
      <w:szCs w:val="21"/>
    </w:rPr>
  </w:style>
  <w:style w:type="paragraph" w:styleId="20">
    <w:name w:val="Body Text First Indent 2"/>
    <w:qFormat/>
    <w:basedOn w:val="0"/>
    <w:pPr>
      <w:widowControl w:val="0"/>
      <w:spacing w:line="560" w:lineRule="exact"/>
      <w:ind w:firstLineChars="200" w:firstLine="200"/>
      <w:jc w:val="both"/>
    </w:pPr>
    <w:rPr>
      <w:rFonts w:ascii="Times New Roman" w:eastAsia="仿宋_GB2312" w:cs="Times New Roman" w:hAnsi="仿宋_GB2312"/>
      <w:kern w:val="2"/>
      <w:sz w:val="32"/>
      <w:szCs w:val="20"/>
      <w:lang w:val="en-US" w:eastAsia="zh-CN" w:bidi="ar-SA"/>
    </w:rPr>
  </w:style>
  <w:style w:type="paragraph" w:styleId="21">
    <w:name w:val="Normal (Web)"/>
    <w:qFormat/>
    <w:basedOn w:val="0"/>
    <w:pPr>
      <w:widowControl/>
      <w:spacing w:before="100" w:beforeAutospacing="1" w:after="100" w:afterAutospacing="1" w:line="560" w:lineRule="exact"/>
      <w:jc w:val="left"/>
    </w:pPr>
    <w:rPr>
      <w:rFonts w:ascii="宋体" w:eastAsia="仿宋_GB2312" w:cs="宋体" w:hAnsi="宋体"/>
      <w:kern w:val="0"/>
      <w:sz w:val="24"/>
      <w:szCs w:val="24"/>
      <w:lang w:val="en-US" w:eastAsia="zh-CN" w:bidi="ar-SA"/>
    </w:rPr>
  </w:style>
  <w:style w:type="paragraph" w:customStyle="1" w:styleId="22">
    <w:name w:val="段"/>
    <w:qFormat/>
    <w:basedOn w:val="0"/>
    <w:pPr>
      <w:widowControl/>
      <w:autoSpaceDE w:val="0"/>
      <w:autoSpaceDN w:val="0"/>
      <w:spacing w:line="560" w:lineRule="exact"/>
      <w:ind w:firstLineChars="200" w:firstLine="200"/>
      <w:jc w:val="both"/>
    </w:pPr>
    <w:rPr>
      <w:rFonts w:ascii="宋体" w:eastAsia="仿宋_GB2312" w:cs="宋体" w:hAnsi="宋体"/>
      <w:kern w:val="0"/>
      <w:sz w:val="24"/>
      <w:szCs w:val="20"/>
      <w:lang w:val="en-US" w:eastAsia="zh-CN" w:bidi="ar-SA"/>
    </w:rPr>
  </w:style>
  <w:style w:type="character" w:customStyle="1" w:styleId="23">
    <w:name w:val="font11"/>
    <w:qFormat/>
    <w:rPr>
      <w:rFonts w:ascii="宋体" w:eastAsia="宋体" w:cs="宋体" w:hAnsi="宋体"/>
      <w:b/>
      <w:color w:val="000000"/>
      <w:sz w:val="22"/>
      <w:szCs w:val="22"/>
      <w:u w:val="none"/>
      <w:lang w:bidi="ar-SA"/>
    </w:rPr>
  </w:style>
  <w:style w:type="paragraph" w:customStyle="1" w:styleId="24">
    <w:name w:val="普通(网站)1"/>
    <w:qFormat/>
    <w:basedOn w:val="0"/>
    <w:pPr>
      <w:widowControl/>
      <w:spacing w:before="240" w:after="240" w:line="560" w:lineRule="exact"/>
      <w:jc w:val="left"/>
    </w:pPr>
    <w:rPr>
      <w:rFonts w:ascii="宋体" w:eastAsia="仿宋_GB2312" w:cs="宋体" w:hAnsi="宋体"/>
      <w:kern w:val="0"/>
      <w:sz w:val="24"/>
      <w:szCs w:val="24"/>
      <w:lang w:val="en-US" w:eastAsia="zh-CN" w:bidi="ar-SA"/>
    </w:rPr>
  </w:style>
  <w:style w:type="paragraph" w:customStyle="1" w:styleId="25">
    <w:name w:val="Normal (Web)"/>
    <w:qFormat/>
    <w:basedOn w:val="0"/>
    <w:pPr>
      <w:widowControl w:val="0"/>
      <w:spacing w:before="100" w:beforeAutospacing="1" w:after="100" w:afterAutospacing="1" w:line="560" w:lineRule="exact"/>
      <w:jc w:val="left"/>
    </w:pPr>
    <w:rPr>
      <w:rFonts w:ascii="Times New Roman" w:eastAsia="仿宋_GB2312" w:cs="Times New Roman" w:hAnsi="仿宋_GB2312"/>
      <w:kern w:val="0"/>
      <w:sz w:val="24"/>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jp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b"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95E1515-DBFF-437A-A160-33EB9060837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14</TotalTime>
  <Application>Yozo_Office9.0.4381.192ZH</Application>
  <Pages>6</Pages>
  <Words>0</Words>
  <Characters>4776</Characters>
  <Lines>0</Lines>
  <Paragraphs>56</Paragraphs>
  <CharactersWithSpaces>6368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psbc</dc:creator>
  <cp:lastModifiedBy>psbc</cp:lastModifiedBy>
  <cp:revision>1</cp:revision>
  <dcterms:created xsi:type="dcterms:W3CDTF">2025-12-18T05:52:35Z</dcterms:created>
  <dcterms:modified xsi:type="dcterms:W3CDTF">2026-02-04T01:17:15Z</dcterms:modified>
</cp:coreProperties>
</file>